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34" w:rsidRPr="009E7656" w:rsidRDefault="00E22E7C" w:rsidP="009E76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CD6634" w:rsidRPr="009E7656" w:rsidRDefault="00CD6634" w:rsidP="009E765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7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Добрый день, уважаемые участники и гости конференции!</w:t>
      </w:r>
    </w:p>
    <w:p w:rsidR="00CD6634" w:rsidRPr="009E7656" w:rsidRDefault="00CD6634" w:rsidP="009E765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980B57" w:rsidRPr="00980B57" w:rsidRDefault="00CD6634" w:rsidP="00753D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Я приветствую всех собравшихся в этом зале. Примите самые искренние поздравления и пожелания доброго здоровья, хорошего настроения, новых творческих идей и успехов в новом учебном году. Ежегодная встреча на августовс</w:t>
      </w:r>
      <w:r w:rsidR="00980B5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кой конференции </w:t>
      </w: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дает нам прекрасную возможность обсудить результаты работы системы образования района, назревшие проблемы, проанализировать и определить главны</w:t>
      </w:r>
      <w:r w:rsidR="00980B5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е задачи на новый учебный год. </w:t>
      </w:r>
    </w:p>
    <w:p w:rsidR="00980B57" w:rsidRPr="00980B57" w:rsidRDefault="00980B57" w:rsidP="00753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57">
        <w:rPr>
          <w:rFonts w:ascii="Times New Roman" w:hAnsi="Times New Roman" w:cs="Times New Roman"/>
          <w:sz w:val="28"/>
          <w:szCs w:val="28"/>
        </w:rPr>
        <w:t xml:space="preserve">Этот год выдался для всех нас очень непростым и крайне напряженным. Пандемия </w:t>
      </w:r>
      <w:proofErr w:type="spellStart"/>
      <w:r w:rsidRPr="00980B5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980B57">
        <w:rPr>
          <w:rFonts w:ascii="Times New Roman" w:hAnsi="Times New Roman" w:cs="Times New Roman"/>
          <w:sz w:val="28"/>
          <w:szCs w:val="28"/>
        </w:rPr>
        <w:t xml:space="preserve"> внесла в нашу жизнь большие перемены, касающиеся всех аспектов деятельности, в том числе и образовательного процесса. Учреждения образования вынуждены были перейти на дистанционную форму обучения. Это стало большим вызовом, проверкой на прочность вс</w:t>
      </w:r>
      <w:r w:rsidR="00172239">
        <w:rPr>
          <w:rFonts w:ascii="Times New Roman" w:hAnsi="Times New Roman" w:cs="Times New Roman"/>
          <w:sz w:val="28"/>
          <w:szCs w:val="28"/>
        </w:rPr>
        <w:t>ей системы образования в стране.</w:t>
      </w:r>
      <w:r w:rsidRPr="00980B57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нашего района </w:t>
      </w:r>
      <w:r w:rsidRPr="00980B57">
        <w:rPr>
          <w:rFonts w:ascii="Times New Roman" w:hAnsi="Times New Roman" w:cs="Times New Roman"/>
          <w:sz w:val="28"/>
          <w:szCs w:val="28"/>
        </w:rPr>
        <w:t xml:space="preserve">показали свою устойчивость, свою мобильность, готовность к любым изменениям и справились со всеми задачами.  </w:t>
      </w:r>
    </w:p>
    <w:p w:rsidR="00CD6634" w:rsidRDefault="00980B57" w:rsidP="00753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57">
        <w:rPr>
          <w:rFonts w:ascii="Times New Roman" w:hAnsi="Times New Roman" w:cs="Times New Roman"/>
          <w:sz w:val="28"/>
          <w:szCs w:val="28"/>
        </w:rPr>
        <w:t>Несмотря ни на какие трудности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0B57">
        <w:rPr>
          <w:rFonts w:ascii="Times New Roman" w:hAnsi="Times New Roman" w:cs="Times New Roman"/>
          <w:sz w:val="28"/>
          <w:szCs w:val="28"/>
        </w:rPr>
        <w:t xml:space="preserve"> 2019-2020 учебный год вошел в историю образования как</w:t>
      </w:r>
      <w:r w:rsidR="007D0849">
        <w:rPr>
          <w:rFonts w:ascii="Times New Roman" w:hAnsi="Times New Roman" w:cs="Times New Roman"/>
          <w:sz w:val="28"/>
          <w:szCs w:val="28"/>
        </w:rPr>
        <w:t xml:space="preserve"> интересный и результативный.</w:t>
      </w:r>
    </w:p>
    <w:p w:rsidR="004A5FDA" w:rsidRPr="004A5FDA" w:rsidRDefault="004A5FDA" w:rsidP="00753D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FD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– </w:t>
      </w:r>
      <w:r w:rsidR="00753DAA">
        <w:rPr>
          <w:rFonts w:ascii="Times New Roman" w:hAnsi="Times New Roman" w:cs="Times New Roman"/>
          <w:color w:val="000000"/>
          <w:sz w:val="28"/>
          <w:szCs w:val="28"/>
        </w:rPr>
        <w:t xml:space="preserve">главная </w:t>
      </w:r>
      <w:r w:rsidRPr="004A5FDA">
        <w:rPr>
          <w:rFonts w:ascii="Times New Roman" w:hAnsi="Times New Roman" w:cs="Times New Roman"/>
          <w:color w:val="000000"/>
          <w:sz w:val="28"/>
          <w:szCs w:val="28"/>
        </w:rPr>
        <w:t>цель национального проекта</w:t>
      </w:r>
      <w:r w:rsidR="001D7E0B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«Образование»</w:t>
      </w:r>
      <w:r w:rsidRPr="004A5FDA">
        <w:rPr>
          <w:rFonts w:ascii="Times New Roman" w:hAnsi="Times New Roman" w:cs="Times New Roman"/>
          <w:color w:val="000000"/>
          <w:sz w:val="28"/>
          <w:szCs w:val="28"/>
        </w:rPr>
        <w:t xml:space="preserve">. Достижение этой цели определяется следующими ключевыми направлениями: </w:t>
      </w:r>
    </w:p>
    <w:p w:rsidR="004A5FDA" w:rsidRPr="004A5FDA" w:rsidRDefault="004A5FDA" w:rsidP="00753D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FD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созданием необходимой современной инфраструктуры, </w:t>
      </w:r>
    </w:p>
    <w:p w:rsidR="004A5FDA" w:rsidRPr="004A5FDA" w:rsidRDefault="004A5FDA" w:rsidP="00753D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FDA">
        <w:rPr>
          <w:rFonts w:ascii="Times New Roman" w:hAnsi="Times New Roman" w:cs="Times New Roman"/>
          <w:color w:val="000000"/>
          <w:sz w:val="28"/>
          <w:szCs w:val="28"/>
        </w:rPr>
        <w:t xml:space="preserve">- обновлением содержания образования, </w:t>
      </w:r>
    </w:p>
    <w:p w:rsidR="004A5FDA" w:rsidRPr="004A5FDA" w:rsidRDefault="004A5FDA" w:rsidP="00753D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FDA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подготовкой соответствующих профессиональных кадров, их переподготовкой и повышением квалификации, </w:t>
      </w:r>
    </w:p>
    <w:p w:rsidR="004A5FDA" w:rsidRPr="004A5FDA" w:rsidRDefault="004A5FDA" w:rsidP="00753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DA">
        <w:rPr>
          <w:rFonts w:ascii="Times New Roman" w:hAnsi="Times New Roman" w:cs="Times New Roman"/>
          <w:color w:val="000000"/>
          <w:sz w:val="28"/>
          <w:szCs w:val="28"/>
        </w:rPr>
        <w:t>- а также созданием наиболее эффективных механизмов управления этой сферой.</w:t>
      </w:r>
    </w:p>
    <w:p w:rsidR="00753DAA" w:rsidRDefault="00753DAA" w:rsidP="009E7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753DAA" w:rsidRPr="00753DAA" w:rsidRDefault="00753DAA" w:rsidP="0075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3DAA" w:rsidRPr="00D25643" w:rsidRDefault="00753DAA" w:rsidP="00753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3DAA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сохранилась тенденция ежегодного приоритетного финансирования сферы образования. За счет средств консолидированного </w:t>
      </w:r>
      <w:r w:rsidRPr="00D25643">
        <w:rPr>
          <w:rFonts w:ascii="Times New Roman" w:hAnsi="Times New Roman" w:cs="Times New Roman"/>
          <w:sz w:val="28"/>
          <w:szCs w:val="28"/>
        </w:rPr>
        <w:t xml:space="preserve">бюджета расходы на образование составляют более </w:t>
      </w:r>
      <w:r w:rsidR="00F2540E">
        <w:rPr>
          <w:rFonts w:ascii="Times New Roman" w:hAnsi="Times New Roman" w:cs="Times New Roman"/>
          <w:sz w:val="28"/>
          <w:szCs w:val="28"/>
        </w:rPr>
        <w:t xml:space="preserve"> 70</w:t>
      </w:r>
      <w:r w:rsidRPr="00D25643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D25643" w:rsidRPr="00AE587E" w:rsidRDefault="00D25643" w:rsidP="00F25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643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федерального проекта «</w:t>
      </w:r>
      <w:r w:rsidRPr="00D256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Содействие занятости женщин – создание </w:t>
      </w:r>
      <w:r w:rsidRPr="00AE587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условий дошкольного образования для детей в возрасте до трех лет</w:t>
      </w:r>
      <w:r w:rsidRPr="00AE587E">
        <w:rPr>
          <w:rFonts w:ascii="Times New Roman" w:hAnsi="Times New Roman" w:cs="Times New Roman"/>
          <w:sz w:val="28"/>
          <w:szCs w:val="28"/>
          <w:shd w:val="clear" w:color="auto" w:fill="FFFFFF"/>
        </w:rPr>
        <w:t>» нацпроекта «</w:t>
      </w:r>
      <w:hyperlink r:id="rId4" w:tooltip="Демография" w:history="1">
        <w:r w:rsidRPr="00AE587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Демография</w:t>
        </w:r>
      </w:hyperlink>
      <w:r w:rsidRPr="00AE587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E587E" w:rsidRPr="00AE5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построена пристройка к детскому саду №5 «Улыбка» на 60 детей.</w:t>
      </w:r>
    </w:p>
    <w:p w:rsidR="00AE587E" w:rsidRPr="00AE587E" w:rsidRDefault="00AE587E" w:rsidP="00F25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Завершается капитальный ремонт здания средней школы </w:t>
      </w:r>
      <w:proofErr w:type="spellStart"/>
      <w:r w:rsidRPr="00AE587E">
        <w:rPr>
          <w:rFonts w:ascii="Times New Roman" w:hAnsi="Times New Roman" w:cs="Times New Roman"/>
          <w:sz w:val="28"/>
          <w:szCs w:val="28"/>
          <w:shd w:val="clear" w:color="auto" w:fill="FFFFFF"/>
        </w:rPr>
        <w:t>ст.Николаевская</w:t>
      </w:r>
      <w:proofErr w:type="spellEnd"/>
      <w:r w:rsidRPr="00AE58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587E" w:rsidRDefault="00AE587E" w:rsidP="00F254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соглашению на финансовое обеспечение мероприятий федеральной целевой программы "Развитие физической культуры и спорта в Российской Федерации на 2016 - 2020 годы" на территории школы №2 </w:t>
      </w:r>
      <w:proofErr w:type="spellStart"/>
      <w:r w:rsidRPr="00AE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г.Дигоры</w:t>
      </w:r>
      <w:proofErr w:type="spellEnd"/>
      <w:r w:rsidRPr="00AE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построена многофункциональн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AE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площадка.</w:t>
      </w:r>
    </w:p>
    <w:p w:rsidR="007D0849" w:rsidRDefault="00753DAA" w:rsidP="00E468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AA">
        <w:rPr>
          <w:rFonts w:ascii="Times New Roman" w:hAnsi="Times New Roman" w:cs="Times New Roman"/>
          <w:sz w:val="28"/>
          <w:szCs w:val="28"/>
        </w:rPr>
        <w:t xml:space="preserve">На совершенствование инфраструктуры образовательных учреждений </w:t>
      </w:r>
      <w:r w:rsidR="00E468B9">
        <w:rPr>
          <w:rFonts w:ascii="Times New Roman" w:hAnsi="Times New Roman" w:cs="Times New Roman"/>
          <w:sz w:val="28"/>
          <w:szCs w:val="28"/>
        </w:rPr>
        <w:t xml:space="preserve">из муниципального бюджета </w:t>
      </w:r>
      <w:r w:rsidRPr="00753DAA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E76C4A">
        <w:rPr>
          <w:rFonts w:ascii="Times New Roman" w:hAnsi="Times New Roman" w:cs="Times New Roman"/>
          <w:sz w:val="28"/>
          <w:szCs w:val="28"/>
        </w:rPr>
        <w:t xml:space="preserve">4874,0 </w:t>
      </w:r>
      <w:r w:rsidR="0024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753DAA">
        <w:rPr>
          <w:rFonts w:ascii="Times New Roman" w:hAnsi="Times New Roman" w:cs="Times New Roman"/>
          <w:sz w:val="28"/>
          <w:szCs w:val="28"/>
        </w:rPr>
        <w:t xml:space="preserve"> Это позволило провести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ремонт помещений </w:t>
      </w:r>
      <w:r w:rsidR="007D08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школе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г.Дигоры</w:t>
      </w:r>
      <w:proofErr w:type="spellEnd"/>
      <w:r w:rsidR="007D0849">
        <w:rPr>
          <w:rFonts w:ascii="Times New Roman" w:hAnsi="Times New Roman" w:cs="Times New Roman"/>
          <w:sz w:val="28"/>
          <w:szCs w:val="28"/>
        </w:rPr>
        <w:t xml:space="preserve"> для создания новых мест дополнительного образования, создать условия для функционирования</w:t>
      </w:r>
      <w:r w:rsidR="00172239">
        <w:rPr>
          <w:rFonts w:ascii="Times New Roman" w:hAnsi="Times New Roman" w:cs="Times New Roman"/>
          <w:sz w:val="28"/>
          <w:szCs w:val="28"/>
        </w:rPr>
        <w:t xml:space="preserve"> центров «Точка Роста» в</w:t>
      </w:r>
      <w:r w:rsidR="00242E61">
        <w:rPr>
          <w:rFonts w:ascii="Times New Roman" w:hAnsi="Times New Roman" w:cs="Times New Roman"/>
          <w:sz w:val="28"/>
          <w:szCs w:val="28"/>
        </w:rPr>
        <w:t xml:space="preserve"> </w:t>
      </w:r>
      <w:r w:rsidR="007D0849">
        <w:rPr>
          <w:rFonts w:ascii="Times New Roman" w:hAnsi="Times New Roman" w:cs="Times New Roman"/>
          <w:sz w:val="28"/>
          <w:szCs w:val="28"/>
        </w:rPr>
        <w:t xml:space="preserve">школах №1, №2 </w:t>
      </w:r>
      <w:proofErr w:type="spellStart"/>
      <w:r w:rsidR="007D0849">
        <w:rPr>
          <w:rFonts w:ascii="Times New Roman" w:hAnsi="Times New Roman" w:cs="Times New Roman"/>
          <w:sz w:val="28"/>
          <w:szCs w:val="28"/>
        </w:rPr>
        <w:t>г.Дигоры</w:t>
      </w:r>
      <w:proofErr w:type="spellEnd"/>
      <w:proofErr w:type="gramStart"/>
      <w:r w:rsidR="00172239">
        <w:rPr>
          <w:rFonts w:ascii="Times New Roman" w:hAnsi="Times New Roman" w:cs="Times New Roman"/>
          <w:sz w:val="28"/>
          <w:szCs w:val="28"/>
        </w:rPr>
        <w:t>,</w:t>
      </w:r>
      <w:r w:rsidR="00172239" w:rsidRPr="00172239">
        <w:rPr>
          <w:rFonts w:ascii="Times New Roman" w:hAnsi="Times New Roman" w:cs="Times New Roman"/>
          <w:sz w:val="28"/>
          <w:szCs w:val="28"/>
        </w:rPr>
        <w:t xml:space="preserve"> </w:t>
      </w:r>
      <w:r w:rsidR="0024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239">
        <w:rPr>
          <w:rFonts w:ascii="Times New Roman" w:hAnsi="Times New Roman" w:cs="Times New Roman"/>
          <w:sz w:val="28"/>
          <w:szCs w:val="28"/>
        </w:rPr>
        <w:t>ст.Николаевская</w:t>
      </w:r>
      <w:proofErr w:type="spellEnd"/>
      <w:proofErr w:type="gramEnd"/>
      <w:r w:rsidR="00172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239">
        <w:rPr>
          <w:rFonts w:ascii="Times New Roman" w:hAnsi="Times New Roman" w:cs="Times New Roman"/>
          <w:sz w:val="28"/>
          <w:szCs w:val="28"/>
        </w:rPr>
        <w:t>с.Карман</w:t>
      </w:r>
      <w:proofErr w:type="spellEnd"/>
      <w:r w:rsidR="007D0849">
        <w:rPr>
          <w:rFonts w:ascii="Times New Roman" w:hAnsi="Times New Roman" w:cs="Times New Roman"/>
          <w:sz w:val="28"/>
          <w:szCs w:val="28"/>
        </w:rPr>
        <w:t>.</w:t>
      </w:r>
      <w:r w:rsidRPr="00753DA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D0849">
        <w:rPr>
          <w:rFonts w:ascii="Times New Roman" w:eastAsia="Calibri" w:hAnsi="Times New Roman" w:cs="Times New Roman"/>
          <w:sz w:val="28"/>
          <w:szCs w:val="28"/>
        </w:rPr>
        <w:t>Проведена реконструкция столово</w:t>
      </w:r>
      <w:r w:rsidR="00AE587E">
        <w:rPr>
          <w:rFonts w:ascii="Times New Roman" w:eastAsia="Calibri" w:hAnsi="Times New Roman" w:cs="Times New Roman"/>
          <w:sz w:val="28"/>
          <w:szCs w:val="28"/>
        </w:rPr>
        <w:t xml:space="preserve">й в школе №3 </w:t>
      </w:r>
      <w:proofErr w:type="spellStart"/>
      <w:r w:rsidR="00AE587E">
        <w:rPr>
          <w:rFonts w:ascii="Times New Roman" w:eastAsia="Calibri" w:hAnsi="Times New Roman" w:cs="Times New Roman"/>
          <w:sz w:val="28"/>
          <w:szCs w:val="28"/>
        </w:rPr>
        <w:t>г.Дигоры</w:t>
      </w:r>
      <w:proofErr w:type="spellEnd"/>
      <w:r w:rsidR="00AE587E">
        <w:rPr>
          <w:rFonts w:ascii="Times New Roman" w:eastAsia="Calibri" w:hAnsi="Times New Roman" w:cs="Times New Roman"/>
          <w:sz w:val="28"/>
          <w:szCs w:val="28"/>
        </w:rPr>
        <w:t xml:space="preserve"> и оснащен</w:t>
      </w:r>
      <w:r w:rsidR="007D0849">
        <w:rPr>
          <w:rFonts w:ascii="Times New Roman" w:eastAsia="Calibri" w:hAnsi="Times New Roman" w:cs="Times New Roman"/>
          <w:sz w:val="28"/>
          <w:szCs w:val="28"/>
        </w:rPr>
        <w:t>а современным технологическим оборудованием.</w:t>
      </w:r>
    </w:p>
    <w:p w:rsidR="00753DAA" w:rsidRPr="00F2540E" w:rsidRDefault="00753DAA" w:rsidP="009E7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AA">
        <w:rPr>
          <w:rFonts w:ascii="Times New Roman" w:hAnsi="Times New Roman" w:cs="Times New Roman"/>
          <w:sz w:val="28"/>
          <w:szCs w:val="28"/>
        </w:rPr>
        <w:t xml:space="preserve">Особое внимание было уделено вопросам противопожарной </w:t>
      </w:r>
      <w:r>
        <w:rPr>
          <w:rFonts w:ascii="Times New Roman" w:hAnsi="Times New Roman" w:cs="Times New Roman"/>
          <w:sz w:val="28"/>
          <w:szCs w:val="28"/>
        </w:rPr>
        <w:t xml:space="preserve">и антитеррористической </w:t>
      </w:r>
      <w:r w:rsidRPr="00753DAA">
        <w:rPr>
          <w:rFonts w:ascii="Times New Roman" w:hAnsi="Times New Roman" w:cs="Times New Roman"/>
          <w:sz w:val="28"/>
          <w:szCs w:val="28"/>
        </w:rPr>
        <w:t xml:space="preserve">безопасности.  </w:t>
      </w:r>
      <w:r w:rsidR="007D0849">
        <w:rPr>
          <w:rFonts w:ascii="Times New Roman" w:hAnsi="Times New Roman" w:cs="Times New Roman"/>
          <w:sz w:val="28"/>
          <w:szCs w:val="28"/>
        </w:rPr>
        <w:t xml:space="preserve">В 2020 году в средней школе №2 </w:t>
      </w:r>
      <w:proofErr w:type="spellStart"/>
      <w:r w:rsidR="007D0849">
        <w:rPr>
          <w:rFonts w:ascii="Times New Roman" w:hAnsi="Times New Roman" w:cs="Times New Roman"/>
          <w:sz w:val="28"/>
          <w:szCs w:val="28"/>
        </w:rPr>
        <w:t>г.Дигоры</w:t>
      </w:r>
      <w:proofErr w:type="spellEnd"/>
      <w:r w:rsidR="007D0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849">
        <w:rPr>
          <w:rFonts w:ascii="Times New Roman" w:hAnsi="Times New Roman" w:cs="Times New Roman"/>
          <w:sz w:val="28"/>
          <w:szCs w:val="28"/>
        </w:rPr>
        <w:t>установлена  АПС</w:t>
      </w:r>
      <w:proofErr w:type="gramEnd"/>
      <w:r w:rsidR="007D0849">
        <w:rPr>
          <w:rFonts w:ascii="Times New Roman" w:hAnsi="Times New Roman" w:cs="Times New Roman"/>
          <w:sz w:val="28"/>
          <w:szCs w:val="28"/>
        </w:rPr>
        <w:t xml:space="preserve"> и в МКОУ ООШ </w:t>
      </w:r>
      <w:proofErr w:type="spellStart"/>
      <w:r w:rsidR="007D0849">
        <w:rPr>
          <w:rFonts w:ascii="Times New Roman" w:hAnsi="Times New Roman" w:cs="Times New Roman"/>
          <w:sz w:val="28"/>
          <w:szCs w:val="28"/>
        </w:rPr>
        <w:t>с.Синдзикау</w:t>
      </w:r>
      <w:proofErr w:type="spellEnd"/>
      <w:r w:rsidR="007D0849">
        <w:rPr>
          <w:rFonts w:ascii="Times New Roman" w:hAnsi="Times New Roman" w:cs="Times New Roman"/>
          <w:sz w:val="28"/>
          <w:szCs w:val="28"/>
        </w:rPr>
        <w:t xml:space="preserve"> проведен монтаж </w:t>
      </w:r>
      <w:r w:rsidRPr="00753DAA">
        <w:rPr>
          <w:rFonts w:ascii="Times New Roman" w:hAnsi="Times New Roman" w:cs="Times New Roman"/>
          <w:sz w:val="28"/>
          <w:szCs w:val="28"/>
        </w:rPr>
        <w:t xml:space="preserve">АПС. </w:t>
      </w:r>
      <w:r w:rsidR="00F2540E">
        <w:rPr>
          <w:rFonts w:ascii="Times New Roman" w:hAnsi="Times New Roman" w:cs="Times New Roman"/>
          <w:sz w:val="28"/>
          <w:szCs w:val="28"/>
        </w:rPr>
        <w:t>В настоящее время завершаются работы по монтажу и наладке системы безопасности во всех учреждениях образования.</w:t>
      </w:r>
      <w:r w:rsidRPr="00753D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634" w:rsidRPr="009E7656" w:rsidRDefault="00CD6634" w:rsidP="009E7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     </w:t>
      </w: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ab/>
        <w:t xml:space="preserve">В  2019/20  учебном  году в системе образования </w:t>
      </w:r>
      <w:r w:rsidR="00172239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района </w:t>
      </w: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произошли незначительные изменения. В с. Кора-</w:t>
      </w:r>
      <w:proofErr w:type="spellStart"/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Урсдон</w:t>
      </w:r>
      <w:proofErr w:type="spellEnd"/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два дошкольных учреждения (детский сад №6 и №7) реорганизованы путем объединения. Таким образом, сегодня </w:t>
      </w:r>
      <w:r w:rsidR="00CA22AC"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 нас функционируют 10 школ, 9 дошкольных учреждений и 3 учреждения дополнительного образования.</w:t>
      </w:r>
    </w:p>
    <w:p w:rsidR="009E7656" w:rsidRPr="00172239" w:rsidRDefault="00CD6634" w:rsidP="00BD2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Образовательное пространство района предоставляет возможности для получения образования на всех уровнях общего образования и определяет нашу с </w:t>
      </w: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 xml:space="preserve">вами ответственность за обеспечение современных условий и качественного образования подрастающего поколения.  </w:t>
      </w:r>
    </w:p>
    <w:p w:rsidR="009E7656" w:rsidRPr="009E7656" w:rsidRDefault="009E7656" w:rsidP="009E7656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CD6634" w:rsidRDefault="00CD6634" w:rsidP="009E7656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Уважаемые коллеги!</w:t>
      </w:r>
    </w:p>
    <w:p w:rsidR="00CD6634" w:rsidRPr="009E7656" w:rsidRDefault="00CD6634" w:rsidP="009E76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CD6634" w:rsidRPr="009E7656" w:rsidRDefault="00CD6634" w:rsidP="009E76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Национальные проекты  образования, которые  стартовали  в 2019  году, направлены как на новые ориентиры в развитии всей системы образования, так и  на получение его нового качества. Школы нашего района стали участниками федеральных проектов. Все эти проекты обозначают круг тех приоритетов, которые должны быть реализованы во всех образовательных учр</w:t>
      </w:r>
      <w:r w:rsidR="00172239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еждениях. Большое внимание </w:t>
      </w: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уделя</w:t>
      </w:r>
      <w:r w:rsidR="00172239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ет</w:t>
      </w: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ся внедрению новых образовательных технологий, методов обучения и воспитания, созданию условий для поддержки общественных инициатив и проектов; формированию эффективной системы выявления, поддержки и развития способностей и талантов у детей и молодежи и направленной на самоопределение и профессиональную ориентацию всех обучающихся. </w:t>
      </w:r>
    </w:p>
    <w:p w:rsidR="00CD6634" w:rsidRPr="009E7656" w:rsidRDefault="00CD6634" w:rsidP="009E7656">
      <w:pPr>
        <w:shd w:val="clear" w:color="auto" w:fill="FFFFFF"/>
        <w:spacing w:before="10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Продолжится создание современной и безопасной цифровой образовательной среды, обеспечивающей высокое качество и доступность образования всех видов и уровней. С сентября 2020 го</w:t>
      </w:r>
      <w:r w:rsidR="00D2564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</w:t>
      </w: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Центры «Точка роста» будут </w:t>
      </w:r>
      <w:proofErr w:type="gramStart"/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функционировать  на</w:t>
      </w:r>
      <w:proofErr w:type="gramEnd"/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базе МКОУ СОШ №1 и №2 </w:t>
      </w:r>
      <w:proofErr w:type="spellStart"/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г.Дигоры</w:t>
      </w:r>
      <w:proofErr w:type="spellEnd"/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МКОУ СОШ ст. Николаевская, МКОУ СОШ </w:t>
      </w:r>
      <w:proofErr w:type="spellStart"/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с.Карман</w:t>
      </w:r>
      <w:proofErr w:type="spellEnd"/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r w:rsidRPr="009E7656">
        <w:rPr>
          <w:rFonts w:ascii="Times New Roman" w:hAnsi="Times New Roman" w:cs="Times New Roman"/>
          <w:color w:val="000000"/>
          <w:sz w:val="28"/>
          <w:szCs w:val="28"/>
        </w:rPr>
        <w:t>Работа центров позволит популяризировать среди школьников и родителей востребованные инженерные и технические специальности, обновить содержание образования и методы обучения по предметным областям «Технология», «Информатика</w:t>
      </w:r>
      <w:proofErr w:type="gramStart"/>
      <w:r w:rsidRPr="009E7656">
        <w:rPr>
          <w:rFonts w:ascii="Times New Roman" w:hAnsi="Times New Roman" w:cs="Times New Roman"/>
          <w:color w:val="000000"/>
          <w:sz w:val="28"/>
          <w:szCs w:val="28"/>
        </w:rPr>
        <w:t>» ,</w:t>
      </w:r>
      <w:proofErr w:type="gramEnd"/>
      <w:r w:rsidRPr="009E7656">
        <w:rPr>
          <w:rFonts w:ascii="Times New Roman" w:hAnsi="Times New Roman" w:cs="Times New Roman"/>
          <w:color w:val="000000"/>
          <w:sz w:val="28"/>
          <w:szCs w:val="28"/>
        </w:rPr>
        <w:t xml:space="preserve"> «Математика» и «Основы безопасности и жизнедеятельности». </w:t>
      </w:r>
    </w:p>
    <w:p w:rsidR="00CD6634" w:rsidRPr="009E7656" w:rsidRDefault="00CD6634" w:rsidP="009E76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56">
        <w:rPr>
          <w:rFonts w:ascii="Times New Roman" w:hAnsi="Times New Roman" w:cs="Times New Roman"/>
          <w:color w:val="000000"/>
          <w:sz w:val="28"/>
          <w:szCs w:val="28"/>
        </w:rPr>
        <w:t>Коллеги!</w:t>
      </w:r>
    </w:p>
    <w:p w:rsidR="00CD6634" w:rsidRPr="009E7656" w:rsidRDefault="00CD6634" w:rsidP="009E76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56">
        <w:rPr>
          <w:rFonts w:ascii="Times New Roman" w:hAnsi="Times New Roman" w:cs="Times New Roman"/>
          <w:color w:val="000000"/>
          <w:sz w:val="28"/>
          <w:szCs w:val="28"/>
        </w:rPr>
        <w:t>Показателем результативности труда педагога, коллектива школы, являются результаты учебного года, итоговой аттестации, участие в районных, региональных, всероссийских олимпиадах, творческих конкурсах, устройство выпускников.</w:t>
      </w:r>
    </w:p>
    <w:p w:rsidR="00CD6634" w:rsidRPr="009E7656" w:rsidRDefault="00CD6634" w:rsidP="009E7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Pr="009E7656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ЕГЭ в </w:t>
      </w:r>
      <w:proofErr w:type="spellStart"/>
      <w:r w:rsidRPr="009E7656">
        <w:rPr>
          <w:rFonts w:ascii="Times New Roman" w:eastAsia="Times New Roman" w:hAnsi="Times New Roman" w:cs="Times New Roman"/>
          <w:sz w:val="28"/>
          <w:szCs w:val="28"/>
        </w:rPr>
        <w:t>Дигорском</w:t>
      </w:r>
      <w:proofErr w:type="spellEnd"/>
      <w:r w:rsidRPr="009E7656">
        <w:rPr>
          <w:rFonts w:ascii="Times New Roman" w:eastAsia="Times New Roman" w:hAnsi="Times New Roman" w:cs="Times New Roman"/>
          <w:sz w:val="28"/>
          <w:szCs w:val="28"/>
        </w:rPr>
        <w:t xml:space="preserve"> районе  был задействован 1 пункт </w:t>
      </w:r>
      <w:r w:rsidR="00E468B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9E7656">
        <w:rPr>
          <w:rFonts w:ascii="Times New Roman" w:eastAsia="Times New Roman" w:hAnsi="Times New Roman" w:cs="Times New Roman"/>
          <w:sz w:val="28"/>
          <w:szCs w:val="28"/>
        </w:rPr>
        <w:t xml:space="preserve"> экзамена -  на базе МКОУ СОШ №2 г. Дигоры. </w:t>
      </w:r>
    </w:p>
    <w:p w:rsidR="00CD6634" w:rsidRPr="009E7656" w:rsidRDefault="00CD6634" w:rsidP="009E76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2020 году в </w:t>
      </w:r>
      <w:proofErr w:type="spellStart"/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Дигорском</w:t>
      </w:r>
      <w:proofErr w:type="spellEnd"/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районе  аттестаты выданы всем выпускникам школ без  учета результатов  единого государственного экзамена (</w:t>
      </w:r>
      <w:r w:rsidR="005C46C9"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ЕГЭ</w:t>
      </w:r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 w:rsidR="005C46C9"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CD6634" w:rsidRPr="009E7656" w:rsidRDefault="00CD6634" w:rsidP="009E765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</w:t>
      </w:r>
    </w:p>
    <w:p w:rsidR="00CD6634" w:rsidRPr="009E7656" w:rsidRDefault="00CD6634" w:rsidP="009E765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Средний тестовый балл  ЕГЭ в </w:t>
      </w:r>
      <w:proofErr w:type="spellStart"/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Дигорском</w:t>
      </w:r>
      <w:proofErr w:type="spellEnd"/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районе представлен на слайде: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657"/>
        <w:gridCol w:w="1843"/>
        <w:gridCol w:w="1165"/>
        <w:gridCol w:w="1245"/>
      </w:tblGrid>
      <w:tr w:rsidR="00CD6634" w:rsidRPr="009E7656" w:rsidTr="004418FB">
        <w:tc>
          <w:tcPr>
            <w:tcW w:w="99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7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84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Сдавали ЕГЭ</w:t>
            </w:r>
          </w:p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116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Средний балл 2019г.</w:t>
            </w:r>
          </w:p>
        </w:tc>
        <w:tc>
          <w:tcPr>
            <w:tcW w:w="124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CD6634" w:rsidRPr="009E7656" w:rsidTr="004418FB">
        <w:tc>
          <w:tcPr>
            <w:tcW w:w="99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6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4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</w:tr>
      <w:tr w:rsidR="00CD6634" w:rsidRPr="009E7656" w:rsidTr="004418FB">
        <w:tc>
          <w:tcPr>
            <w:tcW w:w="99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24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33,6</w:t>
            </w:r>
          </w:p>
        </w:tc>
      </w:tr>
      <w:tr w:rsidR="00CD6634" w:rsidRPr="009E7656" w:rsidTr="004418FB">
        <w:tc>
          <w:tcPr>
            <w:tcW w:w="99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7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24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</w:tr>
      <w:tr w:rsidR="00CD6634" w:rsidRPr="009E7656" w:rsidTr="004418FB">
        <w:tc>
          <w:tcPr>
            <w:tcW w:w="99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7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24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D6634" w:rsidRPr="009E7656" w:rsidTr="004418FB">
        <w:tc>
          <w:tcPr>
            <w:tcW w:w="99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7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</w:tbl>
    <w:p w:rsidR="00CD6634" w:rsidRPr="009E7656" w:rsidRDefault="00CD6634" w:rsidP="009E7656">
      <w:pPr>
        <w:spacing w:after="0" w:line="38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6634" w:rsidRPr="00D25643" w:rsidRDefault="00CD6634" w:rsidP="001722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Число учащихся, набравших 81 и выше баллов,  возросло. В этом году у нас 18 выпускников по русскому языку и 5 учащихся по химии набрали более 80 баллов. Приятно отметить выпускника школы №2 </w:t>
      </w:r>
      <w:proofErr w:type="spellStart"/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г.Дигоры</w:t>
      </w:r>
      <w:proofErr w:type="spellEnd"/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Туаева Астана, который впервые в нашем районе набрал 100 баллов по химии.</w:t>
      </w:r>
    </w:p>
    <w:p w:rsidR="00172239" w:rsidRDefault="00CD6634" w:rsidP="00172239">
      <w:pPr>
        <w:spacing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E76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Однако, число учащихся, не набравших минимальный порог для поступления в вузы, увеличилось. Подробная информация представлена вашему вниманию на слайде.</w:t>
      </w:r>
      <w:r w:rsidR="001722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172239" w:rsidRPr="00BD20AE" w:rsidRDefault="00172239" w:rsidP="001722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0AE">
        <w:rPr>
          <w:rFonts w:ascii="Times New Roman" w:hAnsi="Times New Roman" w:cs="Times New Roman"/>
          <w:sz w:val="28"/>
          <w:szCs w:val="28"/>
        </w:rPr>
        <w:t xml:space="preserve">Качество результатов образования по итогам ЕГЭ более детально будет проанализировано на методических совещаниях. </w:t>
      </w:r>
    </w:p>
    <w:p w:rsidR="00CD6634" w:rsidRPr="009E7656" w:rsidRDefault="00CD6634" w:rsidP="009E7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55"/>
        <w:gridCol w:w="1296"/>
        <w:gridCol w:w="1653"/>
        <w:gridCol w:w="1616"/>
      </w:tblGrid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Сдавали ЕГЭ</w:t>
            </w: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Не перешагнули</w:t>
            </w:r>
          </w:p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 xml:space="preserve"> порог</w:t>
            </w: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11,9</w:t>
            </w:r>
          </w:p>
        </w:tc>
      </w:tr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14,2</w:t>
            </w:r>
          </w:p>
        </w:tc>
      </w:tr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Информатика</w:t>
            </w: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</w:tr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</w:tr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История</w:t>
            </w: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22,7</w:t>
            </w:r>
          </w:p>
        </w:tc>
      </w:tr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Обществознание</w:t>
            </w: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45,9</w:t>
            </w:r>
          </w:p>
        </w:tc>
      </w:tr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</w:tr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12,5</w:t>
            </w:r>
          </w:p>
        </w:tc>
      </w:tr>
      <w:tr w:rsidR="00CD6634" w:rsidRPr="009E7656" w:rsidTr="004418FB">
        <w:tc>
          <w:tcPr>
            <w:tcW w:w="1101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55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616" w:type="dxa"/>
          </w:tcPr>
          <w:p w:rsidR="00CD6634" w:rsidRPr="009E7656" w:rsidRDefault="00CD6634" w:rsidP="009E76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19,7</w:t>
            </w:r>
          </w:p>
        </w:tc>
      </w:tr>
    </w:tbl>
    <w:p w:rsidR="00CD6634" w:rsidRPr="009E7656" w:rsidRDefault="00CD6634" w:rsidP="009E7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634" w:rsidRPr="009E7656" w:rsidRDefault="00CD6634" w:rsidP="009E7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656">
        <w:rPr>
          <w:rFonts w:ascii="Times New Roman" w:hAnsi="Times New Roman" w:cs="Times New Roman"/>
          <w:b/>
          <w:sz w:val="28"/>
          <w:szCs w:val="28"/>
        </w:rPr>
        <w:t xml:space="preserve">                           Анализ  результатов кандидатов на медаль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226"/>
        <w:gridCol w:w="1948"/>
        <w:gridCol w:w="1949"/>
        <w:gridCol w:w="1669"/>
      </w:tblGrid>
      <w:tr w:rsidR="00CD6634" w:rsidRPr="009E7656" w:rsidTr="004418FB">
        <w:tc>
          <w:tcPr>
            <w:tcW w:w="491" w:type="dxa"/>
            <w:vAlign w:val="center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6" w:type="dxa"/>
            <w:vAlign w:val="center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948" w:type="dxa"/>
            <w:vAlign w:val="center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Количество </w:t>
            </w:r>
          </w:p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выпускников</w:t>
            </w:r>
          </w:p>
        </w:tc>
        <w:tc>
          <w:tcPr>
            <w:tcW w:w="1949" w:type="dxa"/>
            <w:vAlign w:val="center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Количество </w:t>
            </w:r>
          </w:p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кандидатов на медаль</w:t>
            </w:r>
          </w:p>
        </w:tc>
        <w:tc>
          <w:tcPr>
            <w:tcW w:w="1669" w:type="dxa"/>
            <w:vAlign w:val="center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Не выдержали проходной порог</w:t>
            </w:r>
          </w:p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CD6634" w:rsidRPr="009E7656" w:rsidTr="004418FB">
        <w:tc>
          <w:tcPr>
            <w:tcW w:w="491" w:type="dxa"/>
          </w:tcPr>
          <w:p w:rsidR="00CD6634" w:rsidRPr="009E7656" w:rsidRDefault="00CD6634" w:rsidP="009E7656">
            <w:pPr>
              <w:ind w:firstLineChars="100" w:firstLine="2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6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СОШ №1 </w:t>
            </w:r>
            <w:proofErr w:type="spellStart"/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г.Дигоры</w:t>
            </w:r>
            <w:proofErr w:type="spellEnd"/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vAlign w:val="center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4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D6634" w:rsidRPr="009E7656" w:rsidTr="004418FB">
        <w:tc>
          <w:tcPr>
            <w:tcW w:w="491" w:type="dxa"/>
          </w:tcPr>
          <w:p w:rsidR="00CD6634" w:rsidRPr="009E7656" w:rsidRDefault="00CD6634" w:rsidP="009E7656">
            <w:pPr>
              <w:ind w:firstLineChars="10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6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СОШ №2г.Дигоры </w:t>
            </w:r>
          </w:p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vAlign w:val="center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4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D6634" w:rsidRPr="009E7656" w:rsidTr="004418FB">
        <w:tc>
          <w:tcPr>
            <w:tcW w:w="491" w:type="dxa"/>
          </w:tcPr>
          <w:p w:rsidR="00CD6634" w:rsidRPr="009E7656" w:rsidRDefault="00CD6634" w:rsidP="009E7656">
            <w:pPr>
              <w:ind w:firstLineChars="10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6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СОШ </w:t>
            </w:r>
            <w:proofErr w:type="spellStart"/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с.Карман</w:t>
            </w:r>
            <w:proofErr w:type="spellEnd"/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Дигорского</w:t>
            </w:r>
            <w:proofErr w:type="spellEnd"/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48" w:type="dxa"/>
            <w:vAlign w:val="center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4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D6634" w:rsidRPr="009E7656" w:rsidTr="004418FB">
        <w:tc>
          <w:tcPr>
            <w:tcW w:w="491" w:type="dxa"/>
          </w:tcPr>
          <w:p w:rsidR="00CD6634" w:rsidRPr="009E7656" w:rsidRDefault="00CD6634" w:rsidP="009E7656">
            <w:pPr>
              <w:ind w:firstLineChars="10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6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МКОУ СОШ №2 </w:t>
            </w:r>
            <w:proofErr w:type="spellStart"/>
            <w:r w:rsidRPr="009E76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с.Дур-Дур</w:t>
            </w:r>
            <w:proofErr w:type="spellEnd"/>
          </w:p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9E76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Дигорского</w:t>
            </w:r>
            <w:proofErr w:type="spellEnd"/>
            <w:r w:rsidRPr="009E76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1948" w:type="dxa"/>
            <w:vAlign w:val="center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CD6634" w:rsidRPr="009E7656" w:rsidTr="004418FB">
        <w:tc>
          <w:tcPr>
            <w:tcW w:w="491" w:type="dxa"/>
          </w:tcPr>
          <w:p w:rsidR="00CD6634" w:rsidRPr="009E7656" w:rsidRDefault="00CD6634" w:rsidP="009E7656">
            <w:pPr>
              <w:ind w:firstLineChars="10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6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СОШ </w:t>
            </w:r>
            <w:proofErr w:type="spellStart"/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ст.Николаевская</w:t>
            </w:r>
            <w:proofErr w:type="spellEnd"/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Дигорского</w:t>
            </w:r>
            <w:proofErr w:type="spellEnd"/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48" w:type="dxa"/>
            <w:vAlign w:val="center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D6634" w:rsidRPr="009E7656" w:rsidTr="004418FB">
        <w:tc>
          <w:tcPr>
            <w:tcW w:w="491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 району</w:t>
            </w:r>
          </w:p>
        </w:tc>
        <w:tc>
          <w:tcPr>
            <w:tcW w:w="1948" w:type="dxa"/>
            <w:vAlign w:val="center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94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9" w:type="dxa"/>
          </w:tcPr>
          <w:p w:rsidR="00CD6634" w:rsidRPr="009E7656" w:rsidRDefault="00CD6634" w:rsidP="009E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D6634" w:rsidRPr="009E7656" w:rsidRDefault="00CD6634" w:rsidP="009E7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34" w:rsidRPr="009E7656" w:rsidRDefault="00CD6634" w:rsidP="009E7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634" w:rsidRPr="009E7656" w:rsidRDefault="00CD6634" w:rsidP="009E76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D6634" w:rsidRPr="009E7656" w:rsidRDefault="00CD6634" w:rsidP="009E7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 xml:space="preserve"> </w:t>
      </w:r>
      <w:r w:rsidRPr="009E7656">
        <w:rPr>
          <w:rFonts w:ascii="Times New Roman" w:hAnsi="Times New Roman" w:cs="Times New Roman"/>
          <w:sz w:val="28"/>
          <w:szCs w:val="28"/>
        </w:rPr>
        <w:tab/>
        <w:t xml:space="preserve">От уровня профессионализма педагогических кадров напрямую зависит качество работы  любого образовательного учреждения. Именно поэтому к образовательному уровню педагогических работников предъявляются самые </w:t>
      </w:r>
      <w:r w:rsidRPr="009E7656">
        <w:rPr>
          <w:rFonts w:ascii="Times New Roman" w:hAnsi="Times New Roman" w:cs="Times New Roman"/>
          <w:sz w:val="28"/>
          <w:szCs w:val="28"/>
        </w:rPr>
        <w:lastRenderedPageBreak/>
        <w:t>высокие требования. Сегодня в системе общего образования трудится  более 500 педагогических работников. Кадровый педагогический состав образовательных организаций  на протяжении нескольких лет остаётся  стабильным. К сожалению, в последнее время  система образования испытывает кадровую потребность по предметам: физика, английский язык.</w:t>
      </w:r>
    </w:p>
    <w:p w:rsidR="00CD6634" w:rsidRPr="009E7656" w:rsidRDefault="00CD6634" w:rsidP="009E7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 xml:space="preserve">      В истекшем году 5 руководителей </w:t>
      </w:r>
      <w:r w:rsidR="00E468B9">
        <w:rPr>
          <w:rFonts w:ascii="Times New Roman" w:hAnsi="Times New Roman" w:cs="Times New Roman"/>
          <w:sz w:val="28"/>
          <w:szCs w:val="28"/>
        </w:rPr>
        <w:t>школ</w:t>
      </w:r>
      <w:r w:rsidRPr="009E7656">
        <w:rPr>
          <w:rFonts w:ascii="Times New Roman" w:hAnsi="Times New Roman" w:cs="Times New Roman"/>
          <w:sz w:val="28"/>
          <w:szCs w:val="28"/>
        </w:rPr>
        <w:t>, 9 заместителей директоров прошли курсы при РИПКРО по теме «Содержание и технологии проектного менеджмента как механизма стратегического развития образовательной организации». В дистанционном  социологическом курсовом  исследовании участвовали 79  педагогических работников  общеобразовательных организаций района. Кроме того,  74 педагога   на Федеральном портале дистанционного обучения прошли онлайн-тестирование по теме «Совершенствование предметных и методических компетенций учителя (учителя физики, биологии, математики, химии, русского языка).</w:t>
      </w:r>
    </w:p>
    <w:p w:rsidR="00CD6634" w:rsidRPr="009E7656" w:rsidRDefault="00CD6634" w:rsidP="009E765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 xml:space="preserve">   </w:t>
      </w:r>
      <w:r w:rsidRPr="009E7656">
        <w:rPr>
          <w:rFonts w:ascii="Times New Roman" w:hAnsi="Times New Roman" w:cs="Times New Roman"/>
          <w:sz w:val="28"/>
          <w:szCs w:val="28"/>
        </w:rPr>
        <w:tab/>
        <w:t>Для другой категории педагогических работников (воспитатели ДОУ в количестве 85 чел.) проведены дистанционные курсы</w:t>
      </w:r>
      <w:r w:rsidR="008127F6" w:rsidRPr="009E7656">
        <w:rPr>
          <w:rFonts w:ascii="Times New Roman" w:hAnsi="Times New Roman" w:cs="Times New Roman"/>
          <w:sz w:val="28"/>
          <w:szCs w:val="28"/>
        </w:rPr>
        <w:t>.</w:t>
      </w:r>
      <w:r w:rsidRPr="009E7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34" w:rsidRPr="009E7656" w:rsidRDefault="00CD6634" w:rsidP="009E765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>В настоящее время   65 педагогов продолжают обучение на   летних долгосрочных курсах повышения квалификации по 16 дисциплинам</w:t>
      </w:r>
      <w:r w:rsidR="008127F6" w:rsidRPr="009E7656">
        <w:rPr>
          <w:rFonts w:ascii="Times New Roman" w:hAnsi="Times New Roman" w:cs="Times New Roman"/>
          <w:sz w:val="28"/>
          <w:szCs w:val="28"/>
        </w:rPr>
        <w:t>.</w:t>
      </w:r>
      <w:r w:rsidRPr="009E76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634" w:rsidRPr="009E7656" w:rsidRDefault="00CD6634" w:rsidP="009E7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 xml:space="preserve">         Хочется отметить высокую активность  участия в онлайн курсах и семинарах наших педагогических работников.</w:t>
      </w:r>
    </w:p>
    <w:p w:rsidR="00CD6634" w:rsidRPr="009E7656" w:rsidRDefault="00CD6634" w:rsidP="009E76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 xml:space="preserve">Педагог должен не только учить, но и сам постоянно учиться. Лучшие выявляются через конкурсы, именно участие в конкурсном движении толкает нас вперёд, позволяет подняться на более высокую ступеньку своего профессионализма. </w:t>
      </w:r>
    </w:p>
    <w:p w:rsidR="008127F6" w:rsidRPr="00172239" w:rsidRDefault="008127F6" w:rsidP="001722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 xml:space="preserve">Второе место на </w:t>
      </w:r>
      <w:r w:rsidR="00CD6634" w:rsidRPr="009E7656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Pr="009E7656">
        <w:rPr>
          <w:rFonts w:ascii="Times New Roman" w:hAnsi="Times New Roman" w:cs="Times New Roman"/>
          <w:sz w:val="28"/>
          <w:szCs w:val="28"/>
        </w:rPr>
        <w:t>ом этапе</w:t>
      </w:r>
      <w:r w:rsidR="00CD6634" w:rsidRPr="009E7656">
        <w:rPr>
          <w:rFonts w:ascii="Times New Roman" w:hAnsi="Times New Roman" w:cs="Times New Roman"/>
          <w:sz w:val="28"/>
          <w:szCs w:val="28"/>
        </w:rPr>
        <w:t xml:space="preserve"> Всероссийского конкурса «Учитель года России»  </w:t>
      </w:r>
      <w:r w:rsidRPr="009E7656">
        <w:rPr>
          <w:rFonts w:ascii="Times New Roman" w:hAnsi="Times New Roman" w:cs="Times New Roman"/>
          <w:sz w:val="28"/>
          <w:szCs w:val="28"/>
        </w:rPr>
        <w:t xml:space="preserve">заняла  </w:t>
      </w:r>
      <w:proofErr w:type="spellStart"/>
      <w:r w:rsidR="00CD6634" w:rsidRPr="009E7656">
        <w:rPr>
          <w:rFonts w:ascii="Times New Roman" w:hAnsi="Times New Roman" w:cs="Times New Roman"/>
          <w:sz w:val="28"/>
          <w:szCs w:val="28"/>
        </w:rPr>
        <w:t>Газдарова</w:t>
      </w:r>
      <w:proofErr w:type="spellEnd"/>
      <w:r w:rsidR="00CD6634" w:rsidRPr="009E7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634" w:rsidRPr="009E7656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CD6634" w:rsidRPr="009E7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634" w:rsidRPr="009E7656">
        <w:rPr>
          <w:rFonts w:ascii="Times New Roman" w:hAnsi="Times New Roman" w:cs="Times New Roman"/>
          <w:sz w:val="28"/>
          <w:szCs w:val="28"/>
        </w:rPr>
        <w:t>Ахсарбековна</w:t>
      </w:r>
      <w:proofErr w:type="spellEnd"/>
      <w:r w:rsidRPr="009E7656">
        <w:rPr>
          <w:rFonts w:ascii="Times New Roman" w:hAnsi="Times New Roman" w:cs="Times New Roman"/>
          <w:sz w:val="28"/>
          <w:szCs w:val="28"/>
        </w:rPr>
        <w:t>, учитель английского языка МКОУ СОШ №2 г. Дигоры и получила  сертификат на 500 тысяч рублей.  А Анисимова Виктория Владимировна, учитель русского языка и литературы МКОУ СОШ  ст. Николаевская</w:t>
      </w:r>
      <w:r w:rsidR="00D25643">
        <w:rPr>
          <w:rFonts w:ascii="Times New Roman" w:hAnsi="Times New Roman" w:cs="Times New Roman"/>
          <w:sz w:val="28"/>
          <w:szCs w:val="28"/>
        </w:rPr>
        <w:t>,</w:t>
      </w:r>
      <w:r w:rsidRPr="009E7656">
        <w:rPr>
          <w:rFonts w:ascii="Times New Roman" w:hAnsi="Times New Roman" w:cs="Times New Roman"/>
          <w:sz w:val="28"/>
          <w:szCs w:val="28"/>
        </w:rPr>
        <w:t xml:space="preserve"> стала финалистом этого конкурса.</w:t>
      </w:r>
    </w:p>
    <w:p w:rsidR="008127F6" w:rsidRDefault="008127F6" w:rsidP="00D256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656">
        <w:rPr>
          <w:rFonts w:ascii="Times New Roman" w:hAnsi="Times New Roman" w:cs="Times New Roman"/>
          <w:sz w:val="28"/>
          <w:szCs w:val="28"/>
        </w:rPr>
        <w:lastRenderedPageBreak/>
        <w:t>Хадаева</w:t>
      </w:r>
      <w:proofErr w:type="spellEnd"/>
      <w:r w:rsidRPr="009E7656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9E7656">
        <w:rPr>
          <w:rFonts w:ascii="Times New Roman" w:hAnsi="Times New Roman" w:cs="Times New Roman"/>
          <w:sz w:val="28"/>
          <w:szCs w:val="28"/>
        </w:rPr>
        <w:t>Еркиновна</w:t>
      </w:r>
      <w:proofErr w:type="spellEnd"/>
      <w:r w:rsidRPr="009E7656">
        <w:rPr>
          <w:rFonts w:ascii="Times New Roman" w:hAnsi="Times New Roman" w:cs="Times New Roman"/>
          <w:sz w:val="28"/>
          <w:szCs w:val="28"/>
        </w:rPr>
        <w:t xml:space="preserve">, учитель немецкого языка МКОУ СОШ №2 </w:t>
      </w:r>
      <w:proofErr w:type="spellStart"/>
      <w:r w:rsidRPr="009E7656">
        <w:rPr>
          <w:rFonts w:ascii="Times New Roman" w:hAnsi="Times New Roman" w:cs="Times New Roman"/>
          <w:sz w:val="28"/>
          <w:szCs w:val="28"/>
        </w:rPr>
        <w:t>г.Дигоры</w:t>
      </w:r>
      <w:proofErr w:type="spellEnd"/>
      <w:proofErr w:type="gramStart"/>
      <w:r w:rsidR="00172239">
        <w:rPr>
          <w:rFonts w:ascii="Times New Roman" w:hAnsi="Times New Roman" w:cs="Times New Roman"/>
          <w:sz w:val="28"/>
          <w:szCs w:val="28"/>
        </w:rPr>
        <w:t>,</w:t>
      </w:r>
      <w:r w:rsidRPr="009E7656">
        <w:rPr>
          <w:rFonts w:ascii="Times New Roman" w:hAnsi="Times New Roman" w:cs="Times New Roman"/>
          <w:sz w:val="28"/>
          <w:szCs w:val="28"/>
        </w:rPr>
        <w:t xml:space="preserve">  стала</w:t>
      </w:r>
      <w:proofErr w:type="gramEnd"/>
      <w:r w:rsidRPr="009E7656">
        <w:rPr>
          <w:rFonts w:ascii="Times New Roman" w:hAnsi="Times New Roman" w:cs="Times New Roman"/>
          <w:sz w:val="28"/>
          <w:szCs w:val="28"/>
        </w:rPr>
        <w:t xml:space="preserve"> победителем Всероссийского конкурса лучших учителей на получение денежной премии.</w:t>
      </w:r>
    </w:p>
    <w:p w:rsidR="00D25643" w:rsidRPr="00D25643" w:rsidRDefault="00D25643" w:rsidP="00D2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7656">
        <w:rPr>
          <w:rFonts w:ascii="Times New Roman" w:hAnsi="Times New Roman" w:cs="Times New Roman"/>
          <w:sz w:val="28"/>
          <w:szCs w:val="28"/>
        </w:rPr>
        <w:t>Созаева</w:t>
      </w:r>
      <w:proofErr w:type="spellEnd"/>
      <w:r w:rsidRPr="009E7656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9E7656">
        <w:rPr>
          <w:rFonts w:ascii="Times New Roman" w:hAnsi="Times New Roman" w:cs="Times New Roman"/>
          <w:sz w:val="28"/>
          <w:szCs w:val="28"/>
        </w:rPr>
        <w:t>Асланбек</w:t>
      </w:r>
      <w:r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Pr="009E7656">
        <w:rPr>
          <w:rFonts w:ascii="Times New Roman" w:hAnsi="Times New Roman" w:cs="Times New Roman"/>
          <w:sz w:val="28"/>
          <w:szCs w:val="28"/>
        </w:rPr>
        <w:t xml:space="preserve"> МКОУ СОШ №2 г. Дигоры стала Лауреатом респ</w:t>
      </w:r>
      <w:r>
        <w:rPr>
          <w:rFonts w:ascii="Times New Roman" w:hAnsi="Times New Roman" w:cs="Times New Roman"/>
          <w:sz w:val="28"/>
          <w:szCs w:val="28"/>
        </w:rPr>
        <w:t xml:space="preserve">убликанского профессионального </w:t>
      </w:r>
      <w:r w:rsidRPr="009E7656">
        <w:rPr>
          <w:rFonts w:ascii="Times New Roman" w:hAnsi="Times New Roman" w:cs="Times New Roman"/>
          <w:sz w:val="28"/>
          <w:szCs w:val="28"/>
        </w:rPr>
        <w:t xml:space="preserve">конкурса им. К. </w:t>
      </w:r>
      <w:proofErr w:type="spellStart"/>
      <w:r w:rsidRPr="009E7656">
        <w:rPr>
          <w:rFonts w:ascii="Times New Roman" w:hAnsi="Times New Roman" w:cs="Times New Roman"/>
          <w:sz w:val="28"/>
          <w:szCs w:val="28"/>
        </w:rPr>
        <w:t>Л.Хетагурова</w:t>
      </w:r>
      <w:proofErr w:type="spellEnd"/>
      <w:r w:rsidRPr="009E7656">
        <w:rPr>
          <w:rFonts w:ascii="Times New Roman" w:hAnsi="Times New Roman" w:cs="Times New Roman"/>
          <w:sz w:val="28"/>
          <w:szCs w:val="28"/>
        </w:rPr>
        <w:t xml:space="preserve"> и  была  награждена  Грамотой  МО и науки РСО – Алания.</w:t>
      </w:r>
    </w:p>
    <w:p w:rsidR="008127F6" w:rsidRPr="009E7656" w:rsidRDefault="00D25643" w:rsidP="009E76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Задача внедрения системы </w:t>
      </w:r>
      <w:proofErr w:type="gramStart"/>
      <w:r w:rsidR="008127F6" w:rsidRPr="009E7656">
        <w:rPr>
          <w:rFonts w:ascii="Times New Roman" w:eastAsia="Times New Roman" w:hAnsi="Times New Roman" w:cs="Times New Roman"/>
          <w:color w:val="2C2B2B"/>
          <w:sz w:val="28"/>
          <w:szCs w:val="28"/>
        </w:rPr>
        <w:t>оценки  качества</w:t>
      </w:r>
      <w:proofErr w:type="gramEnd"/>
      <w:r w:rsidR="008127F6" w:rsidRPr="009E7656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общего образования решается не только через повышение квалификации, но и через выстраивание </w:t>
      </w:r>
      <w:r w:rsidR="008127F6" w:rsidRPr="009E7656">
        <w:rPr>
          <w:rFonts w:ascii="Times New Roman" w:eastAsia="Times New Roman" w:hAnsi="Times New Roman" w:cs="Times New Roman"/>
          <w:bCs/>
          <w:color w:val="2C2B2B"/>
          <w:sz w:val="28"/>
          <w:szCs w:val="28"/>
        </w:rPr>
        <w:t>методической работы</w:t>
      </w:r>
      <w:r w:rsidR="008127F6" w:rsidRPr="009E7656">
        <w:rPr>
          <w:rFonts w:ascii="Times New Roman" w:eastAsia="Times New Roman" w:hAnsi="Times New Roman" w:cs="Times New Roman"/>
          <w:color w:val="2C2B2B"/>
          <w:sz w:val="28"/>
          <w:szCs w:val="28"/>
        </w:rPr>
        <w:t> с педагогами.</w:t>
      </w:r>
    </w:p>
    <w:p w:rsidR="006327DB" w:rsidRPr="009E7656" w:rsidRDefault="008127F6" w:rsidP="009E7656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9E7656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Методическое сопровождение педагога должно быть гибким, учитывать профессиональную готовность педагога, формировать мотивы достижения успеха в конкурсах, инновационной работе, Все это позволит реализовать новый проект «Учитель будущего». </w:t>
      </w:r>
      <w:r w:rsidR="006327DB" w:rsidRPr="009E7656">
        <w:rPr>
          <w:rFonts w:ascii="Times New Roman" w:hAnsi="Times New Roman" w:cs="Times New Roman"/>
          <w:color w:val="303030"/>
          <w:sz w:val="28"/>
          <w:szCs w:val="28"/>
        </w:rPr>
        <w:t>Команды учителей  трех школ района МКОУ СОШ №2, №3 г. Дигоры  и МКОУ СОШ с. Карман зарегистрировались на сайте профессионального конкурса «Учитель будущего». Все они   успешно прошли заочный этап, вошли   в полуфинал и получили  сертификаты  участников конкурса «Учитель будущего».</w:t>
      </w:r>
    </w:p>
    <w:p w:rsidR="006327DB" w:rsidRPr="009E7656" w:rsidRDefault="006327DB" w:rsidP="009E7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6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E76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7656" w:rsidRPr="009E7656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Pr="009E7656">
        <w:rPr>
          <w:rFonts w:ascii="Times New Roman" w:hAnsi="Times New Roman" w:cs="Times New Roman"/>
          <w:sz w:val="28"/>
          <w:szCs w:val="28"/>
        </w:rPr>
        <w:t xml:space="preserve">целевой модели развития региональной системы дополнительного образования детей в РСО -Алания в </w:t>
      </w:r>
      <w:r w:rsidR="009E7656" w:rsidRPr="009E7656">
        <w:rPr>
          <w:rFonts w:ascii="Times New Roman" w:hAnsi="Times New Roman" w:cs="Times New Roman"/>
          <w:sz w:val="28"/>
          <w:szCs w:val="28"/>
        </w:rPr>
        <w:t>2019</w:t>
      </w:r>
      <w:r w:rsidRPr="009E7656">
        <w:rPr>
          <w:rFonts w:ascii="Times New Roman" w:hAnsi="Times New Roman" w:cs="Times New Roman"/>
          <w:sz w:val="28"/>
          <w:szCs w:val="28"/>
        </w:rPr>
        <w:t xml:space="preserve"> году началась работа по внедрению персонифицированного финансирования дополнительного о</w:t>
      </w:r>
      <w:r w:rsidR="00C37E0D">
        <w:rPr>
          <w:rFonts w:ascii="Times New Roman" w:hAnsi="Times New Roman" w:cs="Times New Roman"/>
          <w:sz w:val="28"/>
          <w:szCs w:val="28"/>
        </w:rPr>
        <w:t xml:space="preserve">бразования детей на территории нашего </w:t>
      </w:r>
      <w:r w:rsidRPr="009E7656">
        <w:rPr>
          <w:rFonts w:ascii="Times New Roman" w:hAnsi="Times New Roman" w:cs="Times New Roman"/>
          <w:sz w:val="28"/>
          <w:szCs w:val="28"/>
        </w:rPr>
        <w:t xml:space="preserve">района. Реализация Концепции направлена, прежде всего, на повышение вариативности, качества и доступности дополнительного </w:t>
      </w:r>
      <w:r w:rsidR="00554FE3">
        <w:rPr>
          <w:rFonts w:ascii="Times New Roman" w:hAnsi="Times New Roman" w:cs="Times New Roman"/>
          <w:sz w:val="28"/>
          <w:szCs w:val="28"/>
        </w:rPr>
        <w:t>образования для каждого ребенка</w:t>
      </w:r>
      <w:r w:rsidRPr="009E7656">
        <w:rPr>
          <w:rFonts w:ascii="Times New Roman" w:hAnsi="Times New Roman" w:cs="Times New Roman"/>
          <w:sz w:val="28"/>
          <w:szCs w:val="28"/>
        </w:rPr>
        <w:t xml:space="preserve">; на обновление содержания дополнительного образования детей в соответствии </w:t>
      </w:r>
      <w:r w:rsidR="00554FE3">
        <w:rPr>
          <w:rFonts w:ascii="Times New Roman" w:hAnsi="Times New Roman" w:cs="Times New Roman"/>
          <w:sz w:val="28"/>
          <w:szCs w:val="28"/>
        </w:rPr>
        <w:t>с интересами</w:t>
      </w:r>
      <w:r w:rsidRPr="009E7656">
        <w:rPr>
          <w:rFonts w:ascii="Times New Roman" w:hAnsi="Times New Roman" w:cs="Times New Roman"/>
          <w:sz w:val="28"/>
          <w:szCs w:val="28"/>
        </w:rPr>
        <w:t>, потребностями семьи и общества</w:t>
      </w:r>
      <w:r w:rsidRPr="009E765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E7656">
        <w:rPr>
          <w:rFonts w:ascii="Times New Roman" w:hAnsi="Times New Roman" w:cs="Times New Roman"/>
          <w:sz w:val="28"/>
          <w:szCs w:val="28"/>
        </w:rPr>
        <w:t xml:space="preserve">Вся информация по реализуемым дополнительным образовательным программам в учреждениях дополнительного образования занесена в общедоступный навигатор. На данный момент количество актуализированных сертификатов, т.е. определились с выбором кружков и </w:t>
      </w:r>
      <w:proofErr w:type="gramStart"/>
      <w:r w:rsidRPr="009E7656">
        <w:rPr>
          <w:rFonts w:ascii="Times New Roman" w:hAnsi="Times New Roman" w:cs="Times New Roman"/>
          <w:sz w:val="28"/>
          <w:szCs w:val="28"/>
        </w:rPr>
        <w:t xml:space="preserve">секций </w:t>
      </w:r>
      <w:r w:rsidR="009E7656" w:rsidRPr="009E76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7656" w:rsidRPr="009E76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9E7656">
        <w:rPr>
          <w:rFonts w:ascii="Times New Roman" w:hAnsi="Times New Roman" w:cs="Times New Roman"/>
          <w:sz w:val="28"/>
          <w:szCs w:val="28"/>
        </w:rPr>
        <w:t xml:space="preserve"> </w:t>
      </w:r>
      <w:r w:rsidR="00554FE3">
        <w:rPr>
          <w:rFonts w:ascii="Times New Roman" w:hAnsi="Times New Roman" w:cs="Times New Roman"/>
          <w:sz w:val="28"/>
          <w:szCs w:val="28"/>
        </w:rPr>
        <w:t>1600</w:t>
      </w:r>
      <w:r w:rsidR="00D25643">
        <w:rPr>
          <w:rFonts w:ascii="Times New Roman" w:hAnsi="Times New Roman" w:cs="Times New Roman"/>
          <w:sz w:val="28"/>
          <w:szCs w:val="28"/>
        </w:rPr>
        <w:t>.</w:t>
      </w:r>
    </w:p>
    <w:p w:rsidR="006327DB" w:rsidRDefault="009E7656" w:rsidP="009E76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7E0D">
        <w:rPr>
          <w:rFonts w:ascii="Times New Roman" w:hAnsi="Times New Roman" w:cs="Times New Roman"/>
          <w:sz w:val="28"/>
          <w:szCs w:val="28"/>
        </w:rPr>
        <w:t>В рамках проекта «Успех каждого ребенка» в районе с</w:t>
      </w:r>
      <w:r w:rsidR="006327DB" w:rsidRPr="009E7656">
        <w:rPr>
          <w:rFonts w:ascii="Times New Roman" w:hAnsi="Times New Roman" w:cs="Times New Roman"/>
          <w:sz w:val="28"/>
          <w:szCs w:val="28"/>
        </w:rPr>
        <w:t>озданы дополнительные места</w:t>
      </w:r>
      <w:r w:rsidR="00AF309B">
        <w:rPr>
          <w:rFonts w:ascii="Times New Roman" w:hAnsi="Times New Roman" w:cs="Times New Roman"/>
          <w:sz w:val="28"/>
          <w:szCs w:val="28"/>
        </w:rPr>
        <w:t xml:space="preserve"> по направлениям: робототехника, шахматное образование, развитие инженерных навыков для детей младшего возраста, мультипликационные студии.</w:t>
      </w:r>
    </w:p>
    <w:p w:rsidR="00C37E0D" w:rsidRDefault="00C37E0D" w:rsidP="009E76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E0D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</w:t>
      </w:r>
      <w:r w:rsidR="0034778D">
        <w:rPr>
          <w:rFonts w:ascii="Times New Roman" w:hAnsi="Times New Roman" w:cs="Times New Roman"/>
          <w:sz w:val="28"/>
          <w:szCs w:val="28"/>
        </w:rPr>
        <w:t xml:space="preserve">и физическом совершенствовании. </w:t>
      </w:r>
      <w:r w:rsidRPr="00C37E0D">
        <w:rPr>
          <w:rFonts w:ascii="Times New Roman" w:hAnsi="Times New Roman" w:cs="Times New Roman"/>
          <w:sz w:val="28"/>
          <w:szCs w:val="28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4064CB" w:rsidRPr="00E22E7C" w:rsidRDefault="00C37E0D" w:rsidP="00E22E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Приятно отметить,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выпускница школы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г.Дигоры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воспитанница Дома детского творчества (руководитель Караваева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4778D">
        <w:rPr>
          <w:rFonts w:ascii="Times New Roman" w:hAnsi="Times New Roman" w:cs="Times New Roman"/>
          <w:sz w:val="28"/>
          <w:szCs w:val="28"/>
        </w:rPr>
        <w:t>стала финалистом</w:t>
      </w:r>
      <w:r>
        <w:rPr>
          <w:rFonts w:ascii="Times New Roman" w:hAnsi="Times New Roman" w:cs="Times New Roman"/>
          <w:sz w:val="28"/>
          <w:szCs w:val="28"/>
        </w:rPr>
        <w:t xml:space="preserve"> самого масштабного литературного проекта страны для детей и подростков «Живая классика»</w:t>
      </w:r>
      <w:r w:rsidR="0034778D">
        <w:rPr>
          <w:rFonts w:ascii="Times New Roman" w:hAnsi="Times New Roman" w:cs="Times New Roman"/>
          <w:sz w:val="28"/>
          <w:szCs w:val="28"/>
        </w:rPr>
        <w:t>.</w:t>
      </w:r>
    </w:p>
    <w:p w:rsidR="00E22E7C" w:rsidRDefault="00E22E7C" w:rsidP="00C37E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</w:rPr>
      </w:pPr>
    </w:p>
    <w:p w:rsidR="00C37E0D" w:rsidRPr="00C37E0D" w:rsidRDefault="00172239" w:rsidP="00E22E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Уважаемые коллеги!</w:t>
      </w:r>
    </w:p>
    <w:p w:rsidR="00BD20AE" w:rsidRPr="00172239" w:rsidRDefault="00BD20AE" w:rsidP="00172239">
      <w:pPr>
        <w:spacing w:after="0" w:line="360" w:lineRule="auto"/>
        <w:ind w:righ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239">
        <w:rPr>
          <w:rFonts w:ascii="Times New Roman" w:hAnsi="Times New Roman" w:cs="Times New Roman"/>
          <w:sz w:val="28"/>
          <w:szCs w:val="28"/>
        </w:rPr>
        <w:t>С 01.09.2020</w:t>
      </w:r>
      <w:r w:rsidR="0017223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72239">
        <w:rPr>
          <w:rFonts w:ascii="Times New Roman" w:hAnsi="Times New Roman" w:cs="Times New Roman"/>
          <w:sz w:val="28"/>
          <w:szCs w:val="28"/>
        </w:rPr>
        <w:t xml:space="preserve"> согласно Поручению Президента РФ от 24.01.2020 № Пр-113</w:t>
      </w:r>
      <w:r w:rsidR="00172239">
        <w:rPr>
          <w:rFonts w:ascii="Times New Roman" w:hAnsi="Times New Roman" w:cs="Times New Roman"/>
          <w:sz w:val="28"/>
          <w:szCs w:val="28"/>
        </w:rPr>
        <w:t>,</w:t>
      </w:r>
      <w:r w:rsidRPr="00172239">
        <w:rPr>
          <w:rFonts w:ascii="Times New Roman" w:hAnsi="Times New Roman" w:cs="Times New Roman"/>
          <w:sz w:val="28"/>
          <w:szCs w:val="28"/>
        </w:rPr>
        <w:t xml:space="preserve"> </w:t>
      </w:r>
      <w:r w:rsidR="00172239">
        <w:rPr>
          <w:rFonts w:ascii="Times New Roman" w:hAnsi="Times New Roman" w:cs="Times New Roman"/>
          <w:sz w:val="28"/>
          <w:szCs w:val="28"/>
        </w:rPr>
        <w:t xml:space="preserve"> </w:t>
      </w:r>
      <w:r w:rsidRPr="00172239">
        <w:rPr>
          <w:rFonts w:ascii="Times New Roman" w:hAnsi="Times New Roman" w:cs="Times New Roman"/>
          <w:sz w:val="28"/>
          <w:szCs w:val="28"/>
        </w:rPr>
        <w:t>ежедневно бесплатн</w:t>
      </w:r>
      <w:r w:rsidR="008A52D0">
        <w:rPr>
          <w:rFonts w:ascii="Times New Roman" w:hAnsi="Times New Roman" w:cs="Times New Roman"/>
          <w:sz w:val="28"/>
          <w:szCs w:val="28"/>
        </w:rPr>
        <w:t xml:space="preserve">ое </w:t>
      </w:r>
      <w:r w:rsidRPr="00172239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8A52D0">
        <w:rPr>
          <w:rFonts w:ascii="Times New Roman" w:hAnsi="Times New Roman" w:cs="Times New Roman"/>
          <w:sz w:val="28"/>
          <w:szCs w:val="28"/>
        </w:rPr>
        <w:t>ее</w:t>
      </w:r>
      <w:r w:rsidRPr="00172239">
        <w:rPr>
          <w:rFonts w:ascii="Times New Roman" w:hAnsi="Times New Roman" w:cs="Times New Roman"/>
          <w:sz w:val="28"/>
          <w:szCs w:val="28"/>
        </w:rPr>
        <w:t xml:space="preserve"> </w:t>
      </w:r>
      <w:r w:rsidR="008A52D0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172239">
        <w:rPr>
          <w:rFonts w:ascii="Times New Roman" w:hAnsi="Times New Roman" w:cs="Times New Roman"/>
          <w:sz w:val="28"/>
          <w:szCs w:val="28"/>
        </w:rPr>
        <w:t>будут по</w:t>
      </w:r>
      <w:r w:rsidR="00AF309B">
        <w:rPr>
          <w:rFonts w:ascii="Times New Roman" w:hAnsi="Times New Roman" w:cs="Times New Roman"/>
          <w:sz w:val="28"/>
          <w:szCs w:val="28"/>
        </w:rPr>
        <w:t>лучать все учащиеся 1-4 классов</w:t>
      </w:r>
      <w:r w:rsidR="008A52D0">
        <w:rPr>
          <w:rFonts w:ascii="Times New Roman" w:hAnsi="Times New Roman" w:cs="Times New Roman"/>
          <w:sz w:val="28"/>
          <w:szCs w:val="28"/>
        </w:rPr>
        <w:t>.</w:t>
      </w:r>
    </w:p>
    <w:p w:rsidR="00BD20AE" w:rsidRDefault="00BD20AE" w:rsidP="008A52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239">
        <w:rPr>
          <w:rFonts w:ascii="Times New Roman" w:hAnsi="Times New Roman" w:cs="Times New Roman"/>
          <w:sz w:val="28"/>
          <w:szCs w:val="28"/>
        </w:rPr>
        <w:t xml:space="preserve">В </w:t>
      </w:r>
      <w:r w:rsidR="008A52D0">
        <w:rPr>
          <w:rFonts w:ascii="Times New Roman" w:hAnsi="Times New Roman" w:cs="Times New Roman"/>
          <w:sz w:val="28"/>
          <w:szCs w:val="28"/>
        </w:rPr>
        <w:t>школах района</w:t>
      </w:r>
      <w:r w:rsidRPr="00172239">
        <w:rPr>
          <w:rFonts w:ascii="Times New Roman" w:hAnsi="Times New Roman" w:cs="Times New Roman"/>
          <w:sz w:val="28"/>
          <w:szCs w:val="28"/>
        </w:rPr>
        <w:t xml:space="preserve"> созданы условия для обеспечения школьников 1-4 классов горячим питанием. Питание учащихся в школе</w:t>
      </w:r>
      <w:r w:rsidR="008A52D0">
        <w:rPr>
          <w:rFonts w:ascii="Times New Roman" w:hAnsi="Times New Roman" w:cs="Times New Roman"/>
          <w:sz w:val="28"/>
          <w:szCs w:val="28"/>
        </w:rPr>
        <w:t xml:space="preserve"> будет осуществля</w:t>
      </w:r>
      <w:r w:rsidRPr="00172239">
        <w:rPr>
          <w:rFonts w:ascii="Times New Roman" w:hAnsi="Times New Roman" w:cs="Times New Roman"/>
          <w:sz w:val="28"/>
          <w:szCs w:val="28"/>
        </w:rPr>
        <w:t>т</w:t>
      </w:r>
      <w:r w:rsidR="008A52D0">
        <w:rPr>
          <w:rFonts w:ascii="Times New Roman" w:hAnsi="Times New Roman" w:cs="Times New Roman"/>
          <w:sz w:val="28"/>
          <w:szCs w:val="28"/>
        </w:rPr>
        <w:t>ь</w:t>
      </w:r>
      <w:r w:rsidRPr="00172239">
        <w:rPr>
          <w:rFonts w:ascii="Times New Roman" w:hAnsi="Times New Roman" w:cs="Times New Roman"/>
          <w:sz w:val="28"/>
          <w:szCs w:val="28"/>
        </w:rPr>
        <w:t xml:space="preserve">ся по </w:t>
      </w:r>
      <w:r w:rsidR="008A52D0">
        <w:rPr>
          <w:rFonts w:ascii="Times New Roman" w:hAnsi="Times New Roman" w:cs="Times New Roman"/>
          <w:sz w:val="28"/>
          <w:szCs w:val="28"/>
        </w:rPr>
        <w:t xml:space="preserve">единому 15 – дневному </w:t>
      </w:r>
      <w:r w:rsidRPr="00172239">
        <w:rPr>
          <w:rFonts w:ascii="Times New Roman" w:hAnsi="Times New Roman" w:cs="Times New Roman"/>
          <w:sz w:val="28"/>
          <w:szCs w:val="28"/>
        </w:rPr>
        <w:t>меню</w:t>
      </w:r>
      <w:r w:rsidR="008A52D0">
        <w:rPr>
          <w:rFonts w:ascii="Times New Roman" w:hAnsi="Times New Roman" w:cs="Times New Roman"/>
          <w:sz w:val="28"/>
          <w:szCs w:val="28"/>
        </w:rPr>
        <w:t>, утвержденн</w:t>
      </w:r>
      <w:r w:rsidR="00554FE3">
        <w:rPr>
          <w:rFonts w:ascii="Times New Roman" w:hAnsi="Times New Roman" w:cs="Times New Roman"/>
          <w:sz w:val="28"/>
          <w:szCs w:val="28"/>
        </w:rPr>
        <w:t>ым</w:t>
      </w:r>
      <w:r w:rsidR="008A52D0">
        <w:rPr>
          <w:rFonts w:ascii="Times New Roman" w:hAnsi="Times New Roman" w:cs="Times New Roman"/>
          <w:sz w:val="28"/>
          <w:szCs w:val="28"/>
        </w:rPr>
        <w:t xml:space="preserve"> Министерством образования Р</w:t>
      </w:r>
      <w:r w:rsidR="00AF309B">
        <w:rPr>
          <w:rFonts w:ascii="Times New Roman" w:hAnsi="Times New Roman" w:cs="Times New Roman"/>
          <w:sz w:val="28"/>
          <w:szCs w:val="28"/>
        </w:rPr>
        <w:t xml:space="preserve">СО-Алания и </w:t>
      </w:r>
      <w:proofErr w:type="spellStart"/>
      <w:r w:rsidR="00AF309B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AF309B">
        <w:rPr>
          <w:rFonts w:ascii="Times New Roman" w:hAnsi="Times New Roman" w:cs="Times New Roman"/>
          <w:sz w:val="28"/>
          <w:szCs w:val="28"/>
        </w:rPr>
        <w:t xml:space="preserve">. </w:t>
      </w:r>
      <w:r w:rsidR="008A52D0">
        <w:rPr>
          <w:rFonts w:ascii="Times New Roman" w:hAnsi="Times New Roman" w:cs="Times New Roman"/>
          <w:sz w:val="28"/>
          <w:szCs w:val="28"/>
        </w:rPr>
        <w:t xml:space="preserve">Меню разнообразное, соответствует стандартам школьного питания. </w:t>
      </w:r>
    </w:p>
    <w:p w:rsidR="00AF309B" w:rsidRDefault="00AF309B" w:rsidP="008A52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поручения Президента также с 1 сентября 138 педагогов, осуществляющих функции классного руководителя, начнут получать ежемесячную выплату в размере 5000 рублей.</w:t>
      </w:r>
    </w:p>
    <w:p w:rsidR="00AF309B" w:rsidRDefault="00AF309B" w:rsidP="00E22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7C" w:rsidRDefault="00E22E7C" w:rsidP="00E22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7C" w:rsidRPr="00172239" w:rsidRDefault="00E22E7C" w:rsidP="00E22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7C" w:rsidRDefault="00AF309B" w:rsidP="00E22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22E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2E7C" w:rsidRPr="00E22E7C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E22E7C" w:rsidRPr="00E22E7C" w:rsidRDefault="00E22E7C" w:rsidP="00E22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88" w:rsidRPr="009E7656" w:rsidRDefault="00E22E7C" w:rsidP="00E22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7C">
        <w:rPr>
          <w:rFonts w:ascii="Times New Roman" w:hAnsi="Times New Roman" w:cs="Times New Roman"/>
          <w:sz w:val="28"/>
          <w:szCs w:val="28"/>
        </w:rPr>
        <w:t xml:space="preserve">Впереди новый учебный год! 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E22E7C">
        <w:rPr>
          <w:rFonts w:ascii="Times New Roman" w:hAnsi="Times New Roman" w:cs="Times New Roman"/>
          <w:sz w:val="28"/>
          <w:szCs w:val="28"/>
        </w:rPr>
        <w:t>нас хорошие перспективы, новые задачи, которые потребуют значительных усилий, напряженной работы, знаний, терпения и целеустремленности. Я поздравляю всех  с новым учебным г</w:t>
      </w:r>
      <w:r>
        <w:rPr>
          <w:rFonts w:ascii="Times New Roman" w:hAnsi="Times New Roman" w:cs="Times New Roman"/>
          <w:sz w:val="28"/>
          <w:szCs w:val="28"/>
        </w:rPr>
        <w:t>одом, творческих поисков и удач.</w:t>
      </w:r>
    </w:p>
    <w:sectPr w:rsidR="00913E88" w:rsidRPr="009E7656" w:rsidSect="00C854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34"/>
    <w:rsid w:val="00051145"/>
    <w:rsid w:val="000674AC"/>
    <w:rsid w:val="00172239"/>
    <w:rsid w:val="001D7E0B"/>
    <w:rsid w:val="0022454B"/>
    <w:rsid w:val="00242E61"/>
    <w:rsid w:val="00326234"/>
    <w:rsid w:val="0034778D"/>
    <w:rsid w:val="004064CB"/>
    <w:rsid w:val="004A5FDA"/>
    <w:rsid w:val="00554FE3"/>
    <w:rsid w:val="005C46C9"/>
    <w:rsid w:val="006327DB"/>
    <w:rsid w:val="00753DAA"/>
    <w:rsid w:val="007D0849"/>
    <w:rsid w:val="0080620A"/>
    <w:rsid w:val="008127F6"/>
    <w:rsid w:val="008A52D0"/>
    <w:rsid w:val="00913E88"/>
    <w:rsid w:val="00980B57"/>
    <w:rsid w:val="009E7656"/>
    <w:rsid w:val="00AE587E"/>
    <w:rsid w:val="00AF309B"/>
    <w:rsid w:val="00BD20AE"/>
    <w:rsid w:val="00C37E0D"/>
    <w:rsid w:val="00CA22AC"/>
    <w:rsid w:val="00CD6634"/>
    <w:rsid w:val="00D25643"/>
    <w:rsid w:val="00E22E7C"/>
    <w:rsid w:val="00E468B9"/>
    <w:rsid w:val="00E76C4A"/>
    <w:rsid w:val="00F2540E"/>
    <w:rsid w:val="00F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52FCA-68C2-49EA-B883-0E912B98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63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fontstyle01">
    <w:name w:val="fontstyle01"/>
    <w:rsid w:val="00CD66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CD663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A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2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25643"/>
    <w:rPr>
      <w:b/>
      <w:bCs/>
    </w:rPr>
  </w:style>
  <w:style w:type="character" w:styleId="a7">
    <w:name w:val="Hyperlink"/>
    <w:basedOn w:val="a0"/>
    <w:uiPriority w:val="99"/>
    <w:semiHidden/>
    <w:unhideWhenUsed/>
    <w:rsid w:val="00D25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ladikavkaz.bezformata.com/word/demografii/256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ВИКА</cp:lastModifiedBy>
  <cp:revision>2</cp:revision>
  <dcterms:created xsi:type="dcterms:W3CDTF">2021-02-27T10:02:00Z</dcterms:created>
  <dcterms:modified xsi:type="dcterms:W3CDTF">2021-02-27T10:02:00Z</dcterms:modified>
</cp:coreProperties>
</file>