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4C" w:rsidRPr="00494885" w:rsidRDefault="009B2F4C" w:rsidP="004948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>ИТОГОВЫЙ  ОТЧЕТ</w:t>
      </w:r>
    </w:p>
    <w:p w:rsidR="009B2F4C" w:rsidRPr="00494885" w:rsidRDefault="009B2F4C" w:rsidP="004948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о  результатах анализа состояния и перспектив развития системы образования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2F4C" w:rsidRPr="00494885" w:rsidRDefault="009B2F4C" w:rsidP="004948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за 201</w:t>
      </w:r>
      <w:r w:rsidR="00D2629C">
        <w:rPr>
          <w:rFonts w:ascii="Times New Roman" w:hAnsi="Times New Roman" w:cs="Times New Roman"/>
          <w:sz w:val="28"/>
          <w:szCs w:val="28"/>
        </w:rPr>
        <w:t>9</w:t>
      </w:r>
      <w:r w:rsidRPr="00494885">
        <w:rPr>
          <w:rFonts w:ascii="Times New Roman" w:hAnsi="Times New Roman" w:cs="Times New Roman"/>
          <w:sz w:val="28"/>
          <w:szCs w:val="28"/>
        </w:rPr>
        <w:t>год</w:t>
      </w:r>
    </w:p>
    <w:p w:rsidR="009B2F4C" w:rsidRPr="00494885" w:rsidRDefault="009B2F4C" w:rsidP="00494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F4C" w:rsidRPr="00494885" w:rsidRDefault="009B2F4C" w:rsidP="004948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48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4885">
        <w:rPr>
          <w:rFonts w:ascii="Times New Roman" w:hAnsi="Times New Roman" w:cs="Times New Roman"/>
          <w:b/>
          <w:sz w:val="28"/>
          <w:szCs w:val="28"/>
        </w:rPr>
        <w:t xml:space="preserve">.Анализ </w:t>
      </w:r>
      <w:proofErr w:type="gramStart"/>
      <w:r w:rsidRPr="00494885">
        <w:rPr>
          <w:rFonts w:ascii="Times New Roman" w:hAnsi="Times New Roman" w:cs="Times New Roman"/>
          <w:b/>
          <w:sz w:val="28"/>
          <w:szCs w:val="28"/>
        </w:rPr>
        <w:t>состояния  и</w:t>
      </w:r>
      <w:proofErr w:type="gramEnd"/>
      <w:r w:rsidRPr="00494885">
        <w:rPr>
          <w:rFonts w:ascii="Times New Roman" w:hAnsi="Times New Roman" w:cs="Times New Roman"/>
          <w:b/>
          <w:sz w:val="28"/>
          <w:szCs w:val="28"/>
        </w:rPr>
        <w:t xml:space="preserve"> перспектив развития системы образования</w:t>
      </w:r>
    </w:p>
    <w:p w:rsidR="009B2F4C" w:rsidRPr="00494885" w:rsidRDefault="009B2F4C" w:rsidP="0049488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4C" w:rsidRPr="00494885" w:rsidRDefault="009B2F4C" w:rsidP="0049488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9B2F4C" w:rsidRPr="00494885" w:rsidRDefault="009B2F4C" w:rsidP="00494885">
      <w:pPr>
        <w:pBdr>
          <w:bottom w:val="single" w:sz="6" w:space="5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В состав </w:t>
      </w:r>
      <w:proofErr w:type="spellStart"/>
      <w:r w:rsidRPr="00494885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Дигорского</w:t>
      </w:r>
      <w:proofErr w:type="spellEnd"/>
      <w:r w:rsidRPr="00494885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 xml:space="preserve"> района</w:t>
      </w: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 входят 6 поселений:</w:t>
      </w:r>
    </w:p>
    <w:p w:rsidR="009B2F4C" w:rsidRPr="00494885" w:rsidRDefault="009B2F4C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Дигорское</w:t>
      </w:r>
      <w:proofErr w:type="spellEnd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городское поселение (город </w:t>
      </w:r>
      <w:hyperlink r:id="rId8" w:tooltip="Дигора" w:history="1">
        <w:r w:rsidRPr="004948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Дигора</w:t>
        </w:r>
      </w:hyperlink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9B2F4C" w:rsidRPr="00494885" w:rsidRDefault="00D2270A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9" w:tooltip="Дур-Дурское сельское поселение (страница отсутствует)" w:history="1">
        <w:proofErr w:type="spellStart"/>
        <w:r w:rsidR="009B2F4C" w:rsidRPr="00494885">
          <w:rPr>
            <w:rFonts w:ascii="Times New Roman" w:eastAsia="Times New Roman" w:hAnsi="Times New Roman" w:cs="Times New Roman"/>
            <w:color w:val="A55858"/>
            <w:sz w:val="28"/>
            <w:szCs w:val="28"/>
            <w:shd w:val="clear" w:color="auto" w:fill="FFFFFF" w:themeFill="background1"/>
          </w:rPr>
          <w:t>Дур-Дурское</w:t>
        </w:r>
        <w:proofErr w:type="spellEnd"/>
        <w:r w:rsidR="009B2F4C" w:rsidRPr="00494885">
          <w:rPr>
            <w:rFonts w:ascii="Times New Roman" w:eastAsia="Times New Roman" w:hAnsi="Times New Roman" w:cs="Times New Roman"/>
            <w:color w:val="A55858"/>
            <w:sz w:val="28"/>
            <w:szCs w:val="28"/>
            <w:shd w:val="clear" w:color="auto" w:fill="FFFFFF" w:themeFill="background1"/>
          </w:rPr>
          <w:t xml:space="preserve"> сельское поселение</w:t>
        </w:r>
      </w:hyperlink>
      <w:r w:rsidR="009B2F4C" w:rsidRPr="004948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 </w:t>
      </w:r>
      <w:r w:rsidR="009B2F4C"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(село 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fldChar w:fldCharType="begin"/>
      </w:r>
      <w:r w:rsidR="009B2F4C" w:rsidRPr="00494885">
        <w:rPr>
          <w:rFonts w:ascii="Times New Roman" w:hAnsi="Times New Roman" w:cs="Times New Roman"/>
          <w:sz w:val="28"/>
          <w:szCs w:val="28"/>
        </w:rPr>
        <w:instrText>HYPERLINK "https://ru.wikipedia.org/wiki/%D0%94%D1%83%D1%80-%D0%94%D1%83%D1%80_(%D1%81%D0%B5%D0%BB%D0%BE)" \o "Дур-Дур (село)"</w:instrText>
      </w:r>
      <w:r w:rsidRPr="00494885">
        <w:rPr>
          <w:rFonts w:ascii="Times New Roman" w:hAnsi="Times New Roman" w:cs="Times New Roman"/>
          <w:sz w:val="28"/>
          <w:szCs w:val="28"/>
        </w:rPr>
        <w:fldChar w:fldCharType="separate"/>
      </w:r>
      <w:r w:rsidR="009B2F4C" w:rsidRPr="0049488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Дур-Дур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fldChar w:fldCharType="end"/>
      </w:r>
      <w:r w:rsidR="009B2F4C"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9B2F4C" w:rsidRPr="00494885" w:rsidRDefault="009B2F4C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Карман-Синдзикауское</w:t>
      </w:r>
      <w:proofErr w:type="spellEnd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сельское поселение (село </w:t>
      </w:r>
      <w:proofErr w:type="spellStart"/>
      <w:r w:rsidR="00D2270A" w:rsidRPr="00494885">
        <w:rPr>
          <w:rFonts w:ascii="Times New Roman" w:hAnsi="Times New Roman" w:cs="Times New Roman"/>
          <w:sz w:val="28"/>
          <w:szCs w:val="28"/>
        </w:rPr>
        <w:fldChar w:fldCharType="begin"/>
      </w:r>
      <w:r w:rsidRPr="00494885">
        <w:rPr>
          <w:rFonts w:ascii="Times New Roman" w:hAnsi="Times New Roman" w:cs="Times New Roman"/>
          <w:sz w:val="28"/>
          <w:szCs w:val="28"/>
        </w:rPr>
        <w:instrText>HYPERLINK "https://ru.wikipedia.org/w/index.php?title=%D0%9A%D0%B0%D1%80%D0%BC%D0%B0%D0%BD-%D0%A1%D0%B8%D0%BD%D0%B4%D0%B7%D0%B8%D0%BA%D0%B0%D1%83&amp;action=edit&amp;redlink=1" \o "Карман-Синдзикау (страница отсутствует)"</w:instrText>
      </w:r>
      <w:r w:rsidR="00D2270A" w:rsidRPr="00494885">
        <w:rPr>
          <w:rFonts w:ascii="Times New Roman" w:hAnsi="Times New Roman" w:cs="Times New Roman"/>
          <w:sz w:val="28"/>
          <w:szCs w:val="28"/>
        </w:rPr>
        <w:fldChar w:fldCharType="separate"/>
      </w:r>
      <w:r w:rsidRPr="00494885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</w:rPr>
        <w:t>Карман-Синдзикау</w:t>
      </w:r>
      <w:proofErr w:type="spellEnd"/>
      <w:r w:rsidR="00D2270A" w:rsidRPr="00494885">
        <w:rPr>
          <w:rFonts w:ascii="Times New Roman" w:hAnsi="Times New Roman" w:cs="Times New Roman"/>
          <w:sz w:val="28"/>
          <w:szCs w:val="28"/>
        </w:rPr>
        <w:fldChar w:fldCharType="end"/>
      </w: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9B2F4C" w:rsidRPr="00494885" w:rsidRDefault="009B2F4C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Кора-Урсдонское</w:t>
      </w:r>
      <w:proofErr w:type="spellEnd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сельское поселение (</w:t>
      </w:r>
      <w:hyperlink r:id="rId10" w:tooltip="Кора (Северная Осетия) (страница отсутствует)" w:history="1">
        <w:r w:rsidRPr="00494885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</w:rPr>
          <w:t>Кора</w:t>
        </w:r>
      </w:hyperlink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, село </w:t>
      </w:r>
      <w:proofErr w:type="spellStart"/>
      <w:r w:rsidR="00D2270A" w:rsidRPr="00494885">
        <w:rPr>
          <w:rFonts w:ascii="Times New Roman" w:hAnsi="Times New Roman" w:cs="Times New Roman"/>
          <w:sz w:val="28"/>
          <w:szCs w:val="28"/>
        </w:rPr>
        <w:fldChar w:fldCharType="begin"/>
      </w:r>
      <w:r w:rsidRPr="00494885">
        <w:rPr>
          <w:rFonts w:ascii="Times New Roman" w:hAnsi="Times New Roman" w:cs="Times New Roman"/>
          <w:sz w:val="28"/>
          <w:szCs w:val="28"/>
        </w:rPr>
        <w:instrText>HYPERLINK "https://ru.wikipedia.org/wiki/%D0%A3%D1%80%D1%81%D0%B4%D0%BE%D0%BD_(%D0%94%D0%B8%D0%B3%D0%BE%D1%80%D1%81%D0%BA%D0%B8%D0%B9_%D1%80%D0%B0%D0%B9%D0%BE%D0%BD)" \o "Урсдон (Дигорский район)"</w:instrText>
      </w:r>
      <w:r w:rsidR="00D2270A" w:rsidRPr="00494885">
        <w:rPr>
          <w:rFonts w:ascii="Times New Roman" w:hAnsi="Times New Roman" w:cs="Times New Roman"/>
          <w:sz w:val="28"/>
          <w:szCs w:val="28"/>
        </w:rPr>
        <w:fldChar w:fldCharType="separate"/>
      </w:r>
      <w:r w:rsidRPr="0049488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Урсдон</w:t>
      </w:r>
      <w:proofErr w:type="spellEnd"/>
      <w:r w:rsidR="00D2270A" w:rsidRPr="00494885">
        <w:rPr>
          <w:rFonts w:ascii="Times New Roman" w:hAnsi="Times New Roman" w:cs="Times New Roman"/>
          <w:sz w:val="28"/>
          <w:szCs w:val="28"/>
        </w:rPr>
        <w:fldChar w:fldCharType="end"/>
      </w: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9B2F4C" w:rsidRPr="00494885" w:rsidRDefault="009B2F4C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Мостиздахское</w:t>
      </w:r>
      <w:proofErr w:type="spellEnd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сельское поселение (село </w:t>
      </w:r>
      <w:proofErr w:type="spellStart"/>
      <w:r w:rsidR="00D2270A" w:rsidRPr="00494885">
        <w:rPr>
          <w:rFonts w:ascii="Times New Roman" w:hAnsi="Times New Roman" w:cs="Times New Roman"/>
          <w:sz w:val="28"/>
          <w:szCs w:val="28"/>
        </w:rPr>
        <w:fldChar w:fldCharType="begin"/>
      </w:r>
      <w:r w:rsidRPr="00494885">
        <w:rPr>
          <w:rFonts w:ascii="Times New Roman" w:hAnsi="Times New Roman" w:cs="Times New Roman"/>
          <w:sz w:val="28"/>
          <w:szCs w:val="28"/>
        </w:rPr>
        <w:instrText>HYPERLINK "https://ru.wikipedia.org/wiki/%D0%9C%D0%BE%D1%81%D1%82%D0%B8%D0%B7%D0%B4%D0%B0%D1%85" \o "Мостиздах"</w:instrText>
      </w:r>
      <w:r w:rsidR="00D2270A" w:rsidRPr="00494885">
        <w:rPr>
          <w:rFonts w:ascii="Times New Roman" w:hAnsi="Times New Roman" w:cs="Times New Roman"/>
          <w:sz w:val="28"/>
          <w:szCs w:val="28"/>
        </w:rPr>
        <w:fldChar w:fldCharType="separate"/>
      </w:r>
      <w:r w:rsidRPr="0049488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Мостиздах</w:t>
      </w:r>
      <w:proofErr w:type="spellEnd"/>
      <w:r w:rsidR="00D2270A" w:rsidRPr="00494885">
        <w:rPr>
          <w:rFonts w:ascii="Times New Roman" w:hAnsi="Times New Roman" w:cs="Times New Roman"/>
          <w:sz w:val="28"/>
          <w:szCs w:val="28"/>
        </w:rPr>
        <w:fldChar w:fldCharType="end"/>
      </w: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9B2F4C" w:rsidRPr="00494885" w:rsidRDefault="009B2F4C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Николаевское сельское поселение (станица </w:t>
      </w:r>
      <w:hyperlink r:id="rId11" w:tooltip="Николаевская (Северная Осетия) (страница отсутствует)" w:history="1">
        <w:r w:rsidRPr="00494885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</w:rPr>
          <w:t>Николаевская</w:t>
        </w:r>
      </w:hyperlink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494885" w:rsidRPr="00494885" w:rsidRDefault="00494885" w:rsidP="00D2629C">
      <w:pPr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2629C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</w:t>
      </w:r>
      <w:proofErr w:type="spellStart"/>
      <w:r w:rsidRPr="00D2629C">
        <w:rPr>
          <w:rFonts w:ascii="Times New Roman" w:hAnsi="Times New Roman" w:cs="Times New Roman"/>
          <w:color w:val="000000"/>
          <w:sz w:val="28"/>
          <w:szCs w:val="28"/>
        </w:rPr>
        <w:t>Дигорского</w:t>
      </w:r>
      <w:proofErr w:type="spellEnd"/>
      <w:r w:rsidRPr="00D2629C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сегодняшний день составляет </w:t>
      </w:r>
      <w:r w:rsidR="00F333A1">
        <w:rPr>
          <w:rFonts w:ascii="Times New Roman" w:hAnsi="Times New Roman" w:cs="Times New Roman"/>
          <w:sz w:val="28"/>
          <w:szCs w:val="28"/>
        </w:rPr>
        <w:t>18 670</w:t>
      </w:r>
      <w:r w:rsidRPr="00D2629C">
        <w:rPr>
          <w:rFonts w:ascii="Times New Roman" w:hAnsi="Times New Roman" w:cs="Times New Roman"/>
          <w:color w:val="000000"/>
          <w:sz w:val="28"/>
          <w:szCs w:val="28"/>
        </w:rPr>
        <w:t xml:space="preserve"> человек,</w:t>
      </w:r>
      <w:r w:rsidRPr="00494885">
        <w:rPr>
          <w:rFonts w:ascii="Times New Roman" w:hAnsi="Times New Roman" w:cs="Times New Roman"/>
          <w:color w:val="000000"/>
          <w:sz w:val="28"/>
          <w:szCs w:val="28"/>
          <w:shd w:val="clear" w:color="auto" w:fill="F7F7F9"/>
        </w:rPr>
        <w:t xml:space="preserve"> </w:t>
      </w:r>
      <w:r w:rsidRPr="00D2629C">
        <w:rPr>
          <w:rFonts w:ascii="Times New Roman" w:hAnsi="Times New Roman" w:cs="Times New Roman"/>
          <w:color w:val="000000"/>
          <w:sz w:val="28"/>
          <w:szCs w:val="28"/>
        </w:rPr>
        <w:t>плотность населения – 34,7 чел./1 кв.км.</w:t>
      </w:r>
    </w:p>
    <w:p w:rsidR="009B2F4C" w:rsidRPr="00494885" w:rsidRDefault="009B2F4C" w:rsidP="00D2629C">
      <w:pPr>
        <w:pStyle w:val="a4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494885">
        <w:rPr>
          <w:sz w:val="28"/>
          <w:szCs w:val="28"/>
        </w:rPr>
        <w:t xml:space="preserve">В </w:t>
      </w:r>
      <w:proofErr w:type="spellStart"/>
      <w:r w:rsidRPr="00494885">
        <w:rPr>
          <w:sz w:val="28"/>
          <w:szCs w:val="28"/>
        </w:rPr>
        <w:t>Дигорском</w:t>
      </w:r>
      <w:proofErr w:type="spellEnd"/>
      <w:r w:rsidRPr="00494885">
        <w:rPr>
          <w:sz w:val="28"/>
          <w:szCs w:val="28"/>
        </w:rPr>
        <w:t xml:space="preserve"> районе находятся промышленные предприятия, производящие  следующие виды продукции:</w:t>
      </w:r>
    </w:p>
    <w:p w:rsidR="00D61375" w:rsidRDefault="009B2F4C" w:rsidP="00494885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proofErr w:type="spellStart"/>
      <w:r w:rsidRPr="00494885">
        <w:rPr>
          <w:sz w:val="28"/>
          <w:szCs w:val="28"/>
        </w:rPr>
        <w:t>Дигорский</w:t>
      </w:r>
      <w:proofErr w:type="spellEnd"/>
      <w:r w:rsidRPr="00494885">
        <w:rPr>
          <w:sz w:val="28"/>
          <w:szCs w:val="28"/>
        </w:rPr>
        <w:t xml:space="preserve"> хлебозавод – хлеб и хлебобулочные изделия;</w:t>
      </w:r>
      <w:r w:rsidRPr="00494885">
        <w:rPr>
          <w:sz w:val="28"/>
          <w:szCs w:val="28"/>
        </w:rPr>
        <w:br/>
        <w:t>ООО «</w:t>
      </w:r>
      <w:proofErr w:type="spellStart"/>
      <w:r w:rsidRPr="00494885">
        <w:rPr>
          <w:sz w:val="28"/>
          <w:szCs w:val="28"/>
        </w:rPr>
        <w:t>Берд-Лавера</w:t>
      </w:r>
      <w:proofErr w:type="spellEnd"/>
      <w:r w:rsidR="00D2629C">
        <w:rPr>
          <w:sz w:val="28"/>
          <w:szCs w:val="28"/>
        </w:rPr>
        <w:t>».</w:t>
      </w:r>
    </w:p>
    <w:p w:rsidR="009B2F4C" w:rsidRPr="00494885" w:rsidRDefault="009B2F4C" w:rsidP="00F944C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885">
        <w:rPr>
          <w:sz w:val="28"/>
          <w:szCs w:val="28"/>
        </w:rPr>
        <w:t>Сельское хозяйство представляют отрасли производства зерна и зернобобовых культур, а так же животноводства и садоводства.</w:t>
      </w:r>
    </w:p>
    <w:p w:rsidR="009B2F4C" w:rsidRPr="00494885" w:rsidRDefault="009B2F4C" w:rsidP="0049488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94885">
        <w:rPr>
          <w:color w:val="000000"/>
          <w:sz w:val="28"/>
          <w:szCs w:val="28"/>
        </w:rPr>
        <w:t>Малое предпринимательство представлена такими отраслями как: торговля, транспортные услуги, стоматологические услуги, ремонт автомобилей, общественное питание, ремонт и изготовление мебели, бытовые услуги.</w:t>
      </w:r>
    </w:p>
    <w:p w:rsidR="009B2F4C" w:rsidRPr="00494885" w:rsidRDefault="009B2F4C" w:rsidP="0049488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94885">
        <w:rPr>
          <w:color w:val="000000"/>
          <w:sz w:val="28"/>
          <w:szCs w:val="28"/>
        </w:rPr>
        <w:lastRenderedPageBreak/>
        <w:t>На территории района имеются природные ресурсы: минеральные воды, нерудны</w:t>
      </w:r>
      <w:r w:rsidR="00D61375">
        <w:rPr>
          <w:color w:val="000000"/>
          <w:sz w:val="28"/>
          <w:szCs w:val="28"/>
        </w:rPr>
        <w:t>е строительные материалы, а так</w:t>
      </w:r>
      <w:r w:rsidRPr="00494885">
        <w:rPr>
          <w:color w:val="000000"/>
          <w:sz w:val="28"/>
          <w:szCs w:val="28"/>
        </w:rPr>
        <w:t>же полезные ископаемые – известняки, мергели, песчано-гравийные смеси, кирпичные глины.</w:t>
      </w:r>
    </w:p>
    <w:p w:rsidR="009B2F4C" w:rsidRPr="00494885" w:rsidRDefault="009B2F4C" w:rsidP="00494885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85">
        <w:rPr>
          <w:color w:val="000000"/>
          <w:sz w:val="28"/>
          <w:szCs w:val="28"/>
        </w:rPr>
        <w:t xml:space="preserve">Водные ресурсы района – подземные пресные воды, реки </w:t>
      </w:r>
      <w:proofErr w:type="spellStart"/>
      <w:r w:rsidRPr="00494885">
        <w:rPr>
          <w:color w:val="000000"/>
          <w:sz w:val="28"/>
          <w:szCs w:val="28"/>
        </w:rPr>
        <w:t>Урсдон</w:t>
      </w:r>
      <w:proofErr w:type="spellEnd"/>
      <w:r w:rsidRPr="00494885">
        <w:rPr>
          <w:color w:val="000000"/>
          <w:sz w:val="28"/>
          <w:szCs w:val="28"/>
        </w:rPr>
        <w:t xml:space="preserve">, </w:t>
      </w:r>
      <w:proofErr w:type="spellStart"/>
      <w:r w:rsidRPr="00494885">
        <w:rPr>
          <w:color w:val="000000"/>
          <w:sz w:val="28"/>
          <w:szCs w:val="28"/>
        </w:rPr>
        <w:t>Дур-Дур</w:t>
      </w:r>
      <w:proofErr w:type="spellEnd"/>
      <w:r w:rsidRPr="00494885">
        <w:rPr>
          <w:color w:val="000000"/>
          <w:sz w:val="28"/>
          <w:szCs w:val="28"/>
        </w:rPr>
        <w:t xml:space="preserve"> и </w:t>
      </w:r>
      <w:proofErr w:type="spellStart"/>
      <w:r w:rsidRPr="00494885">
        <w:rPr>
          <w:color w:val="000000"/>
          <w:sz w:val="28"/>
          <w:szCs w:val="28"/>
        </w:rPr>
        <w:t>Црау</w:t>
      </w:r>
      <w:proofErr w:type="spellEnd"/>
      <w:r w:rsidRPr="00494885">
        <w:rPr>
          <w:color w:val="000000"/>
          <w:sz w:val="28"/>
          <w:szCs w:val="28"/>
        </w:rPr>
        <w:t>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Решение вопросов в сфере образования возложено на Управление образования  администрации местного самоуправления муниципального образования 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 район, расположенного по адресу: 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г.</w:t>
      </w:r>
      <w:r w:rsidR="00D61375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>Дигора, ул.В.Акоева,41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Тел.: 8(86733)</w:t>
      </w:r>
      <w:r w:rsidR="00D61375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 xml:space="preserve">91-6-13 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4948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885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494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diguo</w:t>
        </w:r>
        <w:r w:rsidRPr="0049488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94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948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94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4885">
        <w:rPr>
          <w:rFonts w:ascii="Times New Roman" w:hAnsi="Times New Roman" w:cs="Times New Roman"/>
          <w:sz w:val="28"/>
          <w:szCs w:val="28"/>
        </w:rPr>
        <w:t>,</w:t>
      </w:r>
    </w:p>
    <w:p w:rsidR="009B2F4C" w:rsidRPr="00494885" w:rsidRDefault="00D61375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B2F4C" w:rsidRPr="004948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2F4C" w:rsidRPr="00494885">
        <w:rPr>
          <w:rFonts w:ascii="Times New Roman" w:hAnsi="Times New Roman" w:cs="Times New Roman"/>
          <w:sz w:val="28"/>
          <w:szCs w:val="28"/>
        </w:rPr>
        <w:t>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F4C" w:rsidRPr="0049488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B2F4C" w:rsidRPr="0049488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B2F4C" w:rsidRPr="00494885">
        <w:rPr>
          <w:rFonts w:ascii="Times New Roman" w:hAnsi="Times New Roman" w:cs="Times New Roman"/>
          <w:sz w:val="28"/>
          <w:szCs w:val="28"/>
          <w:lang w:val="en-US"/>
        </w:rPr>
        <w:t>uodigor</w:t>
      </w:r>
      <w:proofErr w:type="spellEnd"/>
      <w:r w:rsidR="009B2F4C" w:rsidRPr="004948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2F4C" w:rsidRPr="00494885">
        <w:rPr>
          <w:rFonts w:ascii="Times New Roman" w:hAnsi="Times New Roman" w:cs="Times New Roman"/>
          <w:sz w:val="28"/>
          <w:szCs w:val="28"/>
          <w:lang w:val="en-US"/>
        </w:rPr>
        <w:t>mvport</w:t>
      </w:r>
      <w:proofErr w:type="spellEnd"/>
      <w:r w:rsidR="009B2F4C" w:rsidRPr="004948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2F4C" w:rsidRPr="004948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района действует муниципальная программа «Развитие образования в муниципальном образ</w:t>
      </w:r>
      <w:r w:rsidR="007E4B41">
        <w:rPr>
          <w:rFonts w:ascii="Times New Roman" w:hAnsi="Times New Roman" w:cs="Times New Roman"/>
          <w:sz w:val="28"/>
          <w:szCs w:val="28"/>
        </w:rPr>
        <w:t xml:space="preserve">овании  </w:t>
      </w:r>
      <w:proofErr w:type="spellStart"/>
      <w:r w:rsidR="007E4B41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7E4B41">
        <w:rPr>
          <w:rFonts w:ascii="Times New Roman" w:hAnsi="Times New Roman" w:cs="Times New Roman"/>
          <w:sz w:val="28"/>
          <w:szCs w:val="28"/>
        </w:rPr>
        <w:t xml:space="preserve"> район  на 2017-2019</w:t>
      </w:r>
      <w:r w:rsidR="00D2629C">
        <w:rPr>
          <w:rFonts w:ascii="Times New Roman" w:hAnsi="Times New Roman" w:cs="Times New Roman"/>
          <w:sz w:val="28"/>
          <w:szCs w:val="28"/>
        </w:rPr>
        <w:t xml:space="preserve"> гг.».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A6063">
        <w:rPr>
          <w:rFonts w:ascii="Times New Roman" w:hAnsi="Times New Roman" w:cs="Times New Roman"/>
          <w:sz w:val="28"/>
          <w:szCs w:val="28"/>
        </w:rPr>
        <w:t xml:space="preserve">реализации данной программы  </w:t>
      </w:r>
      <w:r w:rsidRPr="00494885">
        <w:rPr>
          <w:rFonts w:ascii="Times New Roman" w:hAnsi="Times New Roman" w:cs="Times New Roman"/>
          <w:sz w:val="28"/>
          <w:szCs w:val="28"/>
        </w:rPr>
        <w:t>ре</w:t>
      </w:r>
      <w:r w:rsidR="007A6063">
        <w:rPr>
          <w:rFonts w:ascii="Times New Roman" w:hAnsi="Times New Roman" w:cs="Times New Roman"/>
          <w:sz w:val="28"/>
          <w:szCs w:val="28"/>
        </w:rPr>
        <w:t>шаютс</w:t>
      </w:r>
      <w:r w:rsidRPr="00494885">
        <w:rPr>
          <w:rFonts w:ascii="Times New Roman" w:hAnsi="Times New Roman" w:cs="Times New Roman"/>
          <w:sz w:val="28"/>
          <w:szCs w:val="28"/>
        </w:rPr>
        <w:t>я задачи по обеспечению досту</w:t>
      </w:r>
      <w:r w:rsidR="007A6063">
        <w:rPr>
          <w:rFonts w:ascii="Times New Roman" w:hAnsi="Times New Roman" w:cs="Times New Roman"/>
          <w:sz w:val="28"/>
          <w:szCs w:val="28"/>
        </w:rPr>
        <w:t xml:space="preserve">пности дошкольного образования, </w:t>
      </w:r>
      <w:r w:rsidRPr="00494885">
        <w:rPr>
          <w:rFonts w:ascii="Times New Roman" w:hAnsi="Times New Roman" w:cs="Times New Roman"/>
          <w:sz w:val="28"/>
          <w:szCs w:val="28"/>
        </w:rPr>
        <w:t>соответствующего федеральным государственным стандартам качества  дошкольного образования, по обеспечению условий и качества обучения, соответствующих федеральным государственным стандартам образования, по обеспечению  развития системы дополнительного образования, в том числе за счет разработки и реализации современных образовательных программ, выявления и поддержки одаренных детей, по обеспечению безопасного, качественного отдыха и оздоровления детей, по созданию условий для эффективного управления муниципальным образованием.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В ходе проведения анализа состояния и перспектив развития системы образования были использованы данные автоматизированной информационной системы мониторинга муниципальных образований, статистических отчетов</w:t>
      </w:r>
      <w:r w:rsidR="00F944CA">
        <w:rPr>
          <w:rFonts w:ascii="Times New Roman" w:hAnsi="Times New Roman" w:cs="Times New Roman"/>
          <w:sz w:val="28"/>
          <w:szCs w:val="28"/>
        </w:rPr>
        <w:t xml:space="preserve">. </w:t>
      </w:r>
      <w:r w:rsidRPr="00494885">
        <w:rPr>
          <w:rFonts w:ascii="Times New Roman" w:hAnsi="Times New Roman" w:cs="Times New Roman"/>
          <w:sz w:val="28"/>
          <w:szCs w:val="28"/>
        </w:rPr>
        <w:t xml:space="preserve">Анализ состояния развития системы образования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D2629C">
        <w:rPr>
          <w:rFonts w:ascii="Times New Roman" w:hAnsi="Times New Roman" w:cs="Times New Roman"/>
          <w:sz w:val="28"/>
          <w:szCs w:val="28"/>
        </w:rPr>
        <w:t>9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 проводился на основании публичных докладов руководителей образовательных организаций, данных </w:t>
      </w:r>
      <w:r w:rsidR="00F944CA">
        <w:rPr>
          <w:rFonts w:ascii="Times New Roman" w:hAnsi="Times New Roman" w:cs="Times New Roman"/>
          <w:sz w:val="28"/>
          <w:szCs w:val="28"/>
        </w:rPr>
        <w:t xml:space="preserve">статистической отчетности </w:t>
      </w:r>
      <w:r w:rsidRPr="00494885">
        <w:rPr>
          <w:rFonts w:ascii="Times New Roman" w:hAnsi="Times New Roman" w:cs="Times New Roman"/>
          <w:sz w:val="28"/>
          <w:szCs w:val="28"/>
        </w:rPr>
        <w:t xml:space="preserve"> Регионального Центра обработки информации.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lastRenderedPageBreak/>
        <w:t>Система об</w:t>
      </w:r>
      <w:r w:rsidR="00D2629C">
        <w:rPr>
          <w:rFonts w:ascii="Times New Roman" w:hAnsi="Times New Roman" w:cs="Times New Roman"/>
          <w:sz w:val="28"/>
          <w:szCs w:val="28"/>
        </w:rPr>
        <w:t>разования района представлена 23</w:t>
      </w:r>
      <w:r w:rsidRPr="00494885">
        <w:rPr>
          <w:rFonts w:ascii="Times New Roman" w:hAnsi="Times New Roman" w:cs="Times New Roman"/>
          <w:sz w:val="28"/>
          <w:szCs w:val="28"/>
        </w:rPr>
        <w:t xml:space="preserve">  образовательными учреждениями: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10 общеобразовательных учреждений;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10  дошкольных образовательных учреждений;</w:t>
      </w:r>
    </w:p>
    <w:p w:rsidR="009B2F4C" w:rsidRPr="00494885" w:rsidRDefault="00D2629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9111E8">
        <w:rPr>
          <w:rFonts w:ascii="Times New Roman" w:hAnsi="Times New Roman" w:cs="Times New Roman"/>
          <w:sz w:val="28"/>
          <w:szCs w:val="28"/>
        </w:rPr>
        <w:t xml:space="preserve"> </w:t>
      </w:r>
      <w:r w:rsidR="009B2F4C" w:rsidRPr="00494885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образования.</w:t>
      </w:r>
    </w:p>
    <w:p w:rsidR="009B2F4C" w:rsidRPr="00494885" w:rsidRDefault="009B2F4C" w:rsidP="004948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>2. Анализ состояния и перспективы развития системы образования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районе 10 дошкольных образовательных учреждений, 2 дошкольные группы при МКОУ ООШ с.</w:t>
      </w:r>
      <w:r w:rsidR="00FC0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Мос</w:t>
      </w:r>
      <w:r w:rsidR="00D2629C">
        <w:rPr>
          <w:rFonts w:ascii="Times New Roman" w:hAnsi="Times New Roman" w:cs="Times New Roman"/>
          <w:sz w:val="28"/>
          <w:szCs w:val="28"/>
        </w:rPr>
        <w:t>тиздах</w:t>
      </w:r>
      <w:proofErr w:type="spellEnd"/>
      <w:r w:rsidR="00D2629C">
        <w:rPr>
          <w:rFonts w:ascii="Times New Roman" w:hAnsi="Times New Roman" w:cs="Times New Roman"/>
          <w:sz w:val="28"/>
          <w:szCs w:val="28"/>
        </w:rPr>
        <w:t xml:space="preserve">  с общей численностью 1080</w:t>
      </w:r>
      <w:r w:rsidRPr="004948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3 до 7 лет составляет 100%. Функционирует 49 групп 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направленности, из них 4 логопедические  группы для детей с общими нарушениями речи. </w:t>
      </w:r>
    </w:p>
    <w:p w:rsidR="009B2F4C" w:rsidRPr="00494885" w:rsidRDefault="009B2F4C" w:rsidP="0049488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Задача по обеспечению каждому ребёнку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возраста (5-7 лет) равных стартовых возможностей для обучения в школе в районе  решалась  целе</w:t>
      </w:r>
      <w:r w:rsidR="00F944CA">
        <w:rPr>
          <w:rFonts w:ascii="Times New Roman" w:hAnsi="Times New Roman" w:cs="Times New Roman"/>
          <w:sz w:val="28"/>
          <w:szCs w:val="28"/>
        </w:rPr>
        <w:t>направленно и вполне успешно. Во всех дошкольных учреждениях функционируют подготовительные группы.</w:t>
      </w:r>
    </w:p>
    <w:p w:rsidR="009B2F4C" w:rsidRPr="00494885" w:rsidRDefault="00F944CA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2F4C" w:rsidRPr="00494885">
        <w:rPr>
          <w:rFonts w:ascii="Times New Roman" w:hAnsi="Times New Roman" w:cs="Times New Roman"/>
          <w:sz w:val="28"/>
          <w:szCs w:val="28"/>
        </w:rPr>
        <w:t xml:space="preserve"> дошкольных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="009B2F4C" w:rsidRPr="00494885">
        <w:rPr>
          <w:rFonts w:ascii="Times New Roman" w:hAnsi="Times New Roman" w:cs="Times New Roman"/>
          <w:sz w:val="28"/>
          <w:szCs w:val="28"/>
        </w:rPr>
        <w:t>реализуют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B2F4C" w:rsidRPr="004948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2F4C" w:rsidRPr="00494885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д ред.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«Радуга»,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262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629C">
        <w:rPr>
          <w:rFonts w:ascii="Times New Roman" w:hAnsi="Times New Roman" w:cs="Times New Roman"/>
          <w:sz w:val="28"/>
          <w:szCs w:val="28"/>
        </w:rPr>
        <w:t>П</w:t>
      </w:r>
      <w:r w:rsidR="009B2F4C" w:rsidRPr="00494885">
        <w:rPr>
          <w:rFonts w:ascii="Times New Roman" w:hAnsi="Times New Roman" w:cs="Times New Roman"/>
          <w:sz w:val="28"/>
          <w:szCs w:val="28"/>
        </w:rPr>
        <w:t>олилингва</w:t>
      </w:r>
      <w:r>
        <w:rPr>
          <w:rFonts w:ascii="Times New Roman" w:hAnsi="Times New Roman" w:cs="Times New Roman"/>
          <w:sz w:val="28"/>
          <w:szCs w:val="28"/>
        </w:rPr>
        <w:t>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образования</w:t>
      </w:r>
      <w:r w:rsidR="00D2629C">
        <w:rPr>
          <w:rFonts w:ascii="Times New Roman" w:hAnsi="Times New Roman" w:cs="Times New Roman"/>
          <w:sz w:val="28"/>
          <w:szCs w:val="28"/>
        </w:rPr>
        <w:t xml:space="preserve"> реализуется в МК ДОУ </w:t>
      </w:r>
      <w:proofErr w:type="spellStart"/>
      <w:r w:rsidR="00D262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629C">
        <w:rPr>
          <w:rFonts w:ascii="Times New Roman" w:hAnsi="Times New Roman" w:cs="Times New Roman"/>
          <w:sz w:val="28"/>
          <w:szCs w:val="28"/>
        </w:rPr>
        <w:t xml:space="preserve">/с №5 и </w:t>
      </w:r>
      <w:proofErr w:type="spellStart"/>
      <w:r w:rsidR="00D262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629C">
        <w:rPr>
          <w:rFonts w:ascii="Times New Roman" w:hAnsi="Times New Roman" w:cs="Times New Roman"/>
          <w:sz w:val="28"/>
          <w:szCs w:val="28"/>
        </w:rPr>
        <w:t>/с №10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Детские сады укомплектованы кадрами на 100%. Образовательную деятельность с детьми ведут</w:t>
      </w:r>
      <w:r w:rsidRPr="00496DA8">
        <w:rPr>
          <w:rFonts w:ascii="Times New Roman" w:hAnsi="Times New Roman" w:cs="Times New Roman"/>
          <w:sz w:val="28"/>
          <w:szCs w:val="28"/>
        </w:rPr>
        <w:t xml:space="preserve"> 1</w:t>
      </w:r>
      <w:r w:rsidR="00156E63" w:rsidRPr="00496DA8">
        <w:rPr>
          <w:rFonts w:ascii="Times New Roman" w:hAnsi="Times New Roman" w:cs="Times New Roman"/>
          <w:sz w:val="28"/>
          <w:szCs w:val="28"/>
        </w:rPr>
        <w:t>3</w:t>
      </w:r>
      <w:r w:rsidR="00496DA8" w:rsidRPr="00496DA8">
        <w:rPr>
          <w:rFonts w:ascii="Times New Roman" w:hAnsi="Times New Roman" w:cs="Times New Roman"/>
          <w:sz w:val="28"/>
          <w:szCs w:val="28"/>
        </w:rPr>
        <w:t>4</w:t>
      </w:r>
      <w:r w:rsidRPr="0049488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56E63">
        <w:rPr>
          <w:rFonts w:ascii="Times New Roman" w:hAnsi="Times New Roman" w:cs="Times New Roman"/>
          <w:sz w:val="28"/>
          <w:szCs w:val="28"/>
        </w:rPr>
        <w:t>а</w:t>
      </w:r>
      <w:r w:rsidRPr="00494885">
        <w:rPr>
          <w:rFonts w:ascii="Times New Roman" w:hAnsi="Times New Roman" w:cs="Times New Roman"/>
          <w:sz w:val="28"/>
          <w:szCs w:val="28"/>
        </w:rPr>
        <w:t>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Образовательный уровень педагогических работников  дошкольных образовательных организаций: </w:t>
      </w:r>
    </w:p>
    <w:p w:rsidR="009B2F4C" w:rsidRPr="00496DA8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с </w:t>
      </w:r>
      <w:proofErr w:type="gramStart"/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>высшим</w:t>
      </w:r>
      <w:proofErr w:type="gramEnd"/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образованием–</w:t>
      </w:r>
      <w:r w:rsidR="001837B6"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средне - профессиональным – </w:t>
      </w:r>
      <w:r w:rsidR="001837B6"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F4C" w:rsidRPr="00496DA8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D2629C"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высшую квалификационную категорию имели </w:t>
      </w:r>
      <w:r w:rsidR="001837B6"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педагогических работников ДОУ, первую  категорию </w:t>
      </w:r>
      <w:r w:rsidR="001837B6"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9B2F4C" w:rsidRPr="00496DA8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Повышению качества работы способствовала курсовая подготовка работников: </w:t>
      </w:r>
      <w:r w:rsidR="00496DA8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 прошли курсы повышения квалификации в 201</w:t>
      </w:r>
      <w:r w:rsidR="00D2629C"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96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9B2F4C" w:rsidRPr="007D6393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Численность обучающихся на 1 педагога составила 10  чел.</w:t>
      </w:r>
    </w:p>
    <w:p w:rsidR="009B2F4C" w:rsidRPr="007D6393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педагогических работников муниципальных дошкольных учреждений  составила </w:t>
      </w:r>
      <w:r w:rsidR="007D6393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22,278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4885">
        <w:rPr>
          <w:rFonts w:ascii="Times New Roman" w:hAnsi="Times New Roman" w:cs="Times New Roman"/>
          <w:sz w:val="28"/>
          <w:szCs w:val="28"/>
        </w:rPr>
        <w:t>Анализ материально-технического обеспечения показывает, что 100% дошкольных образовательных организаций имеют водоснабжение, 100% - центральное отопление и 100% канализацию.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Все дошкольные образовательные учреждения обеспечены выходом в </w:t>
      </w:r>
      <w:r w:rsidR="00FC0ED1">
        <w:rPr>
          <w:rFonts w:ascii="Times New Roman" w:hAnsi="Times New Roman" w:cs="Times New Roman"/>
          <w:sz w:val="28"/>
          <w:szCs w:val="28"/>
        </w:rPr>
        <w:t xml:space="preserve">сеть </w:t>
      </w:r>
      <w:r w:rsidRPr="00494885"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="00FC0ED1">
        <w:rPr>
          <w:rFonts w:ascii="Times New Roman" w:hAnsi="Times New Roman" w:cs="Times New Roman"/>
          <w:sz w:val="28"/>
          <w:szCs w:val="28"/>
        </w:rPr>
        <w:t>однако</w:t>
      </w:r>
      <w:r w:rsidRPr="00494885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FC0ED1">
        <w:rPr>
          <w:rFonts w:ascii="Times New Roman" w:hAnsi="Times New Roman" w:cs="Times New Roman"/>
          <w:sz w:val="28"/>
          <w:szCs w:val="28"/>
        </w:rPr>
        <w:t>ой</w:t>
      </w:r>
      <w:r w:rsidRPr="00494885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FC0ED1">
        <w:rPr>
          <w:rFonts w:ascii="Times New Roman" w:hAnsi="Times New Roman" w:cs="Times New Roman"/>
          <w:sz w:val="28"/>
          <w:szCs w:val="28"/>
        </w:rPr>
        <w:t>и</w:t>
      </w: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r w:rsidR="00FC0ED1">
        <w:rPr>
          <w:rFonts w:ascii="Times New Roman" w:hAnsi="Times New Roman" w:cs="Times New Roman"/>
          <w:sz w:val="28"/>
          <w:szCs w:val="28"/>
        </w:rPr>
        <w:t>недостаточно</w:t>
      </w:r>
      <w:r w:rsidRPr="00494885">
        <w:rPr>
          <w:rFonts w:ascii="Times New Roman" w:hAnsi="Times New Roman" w:cs="Times New Roman"/>
          <w:sz w:val="28"/>
          <w:szCs w:val="28"/>
        </w:rPr>
        <w:t>.</w:t>
      </w:r>
    </w:p>
    <w:p w:rsidR="009B2F4C" w:rsidRPr="00496DA8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494885">
        <w:rPr>
          <w:rFonts w:ascii="Times New Roman" w:hAnsi="Times New Roman" w:cs="Times New Roman"/>
          <w:sz w:val="28"/>
          <w:szCs w:val="28"/>
        </w:rPr>
        <w:t>Численность детей-инвалидов в общей численности воспитанников дошкольных образовательных организаций в 201</w:t>
      </w:r>
      <w:r w:rsidR="00D2629C">
        <w:rPr>
          <w:rFonts w:ascii="Times New Roman" w:hAnsi="Times New Roman" w:cs="Times New Roman"/>
          <w:sz w:val="28"/>
          <w:szCs w:val="28"/>
        </w:rPr>
        <w:t>9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1837B6">
        <w:rPr>
          <w:rFonts w:ascii="Times New Roman" w:hAnsi="Times New Roman" w:cs="Times New Roman"/>
          <w:sz w:val="28"/>
          <w:szCs w:val="28"/>
        </w:rPr>
        <w:t>ила</w:t>
      </w:r>
      <w:r w:rsidRPr="00494885">
        <w:rPr>
          <w:rFonts w:ascii="Times New Roman" w:hAnsi="Times New Roman" w:cs="Times New Roman"/>
          <w:sz w:val="28"/>
          <w:szCs w:val="28"/>
        </w:rPr>
        <w:t xml:space="preserve">  </w:t>
      </w:r>
      <w:r w:rsidR="00496DA8" w:rsidRPr="00496DA8">
        <w:rPr>
          <w:rFonts w:ascii="Times New Roman" w:hAnsi="Times New Roman" w:cs="Times New Roman"/>
          <w:sz w:val="28"/>
          <w:szCs w:val="28"/>
        </w:rPr>
        <w:t>1,6%</w:t>
      </w:r>
      <w:r w:rsidR="00496DA8">
        <w:rPr>
          <w:rFonts w:ascii="Times New Roman" w:hAnsi="Times New Roman" w:cs="Times New Roman"/>
          <w:sz w:val="28"/>
          <w:szCs w:val="28"/>
        </w:rPr>
        <w:t>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ab/>
      </w:r>
      <w:r w:rsidRPr="00494885">
        <w:rPr>
          <w:rFonts w:ascii="Times New Roman" w:hAnsi="Times New Roman" w:cs="Times New Roman"/>
          <w:sz w:val="28"/>
          <w:szCs w:val="28"/>
        </w:rPr>
        <w:t xml:space="preserve">В целях развития способностей детей в течение учебного года проводились районные мероприятия с детьми: смотр-конкурс художественной самодеятельности дошкольников «Веселые нотки», </w:t>
      </w:r>
      <w:r w:rsidR="00241F37">
        <w:rPr>
          <w:rFonts w:ascii="Times New Roman" w:hAnsi="Times New Roman" w:cs="Times New Roman"/>
          <w:sz w:val="28"/>
          <w:szCs w:val="28"/>
        </w:rPr>
        <w:t>конкурс чтецов «</w:t>
      </w:r>
      <w:proofErr w:type="spellStart"/>
      <w:r w:rsidR="00241F37">
        <w:rPr>
          <w:rFonts w:ascii="Times New Roman" w:hAnsi="Times New Roman" w:cs="Times New Roman"/>
          <w:sz w:val="28"/>
          <w:szCs w:val="28"/>
        </w:rPr>
        <w:t>Зонди</w:t>
      </w:r>
      <w:proofErr w:type="spellEnd"/>
      <w:r w:rsidR="00241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F37">
        <w:rPr>
          <w:rFonts w:ascii="Times New Roman" w:hAnsi="Times New Roman" w:cs="Times New Roman"/>
          <w:sz w:val="28"/>
          <w:szCs w:val="28"/>
        </w:rPr>
        <w:t>къубулой</w:t>
      </w:r>
      <w:proofErr w:type="spellEnd"/>
      <w:r w:rsidR="00241F37">
        <w:rPr>
          <w:rFonts w:ascii="Times New Roman" w:hAnsi="Times New Roman" w:cs="Times New Roman"/>
          <w:sz w:val="28"/>
          <w:szCs w:val="28"/>
        </w:rPr>
        <w:t>»</w:t>
      </w:r>
      <w:r w:rsidRPr="00494885">
        <w:rPr>
          <w:rFonts w:ascii="Times New Roman" w:hAnsi="Times New Roman" w:cs="Times New Roman"/>
          <w:sz w:val="28"/>
          <w:szCs w:val="28"/>
        </w:rPr>
        <w:t>, кукольный театр, спортивные состязания и др.</w:t>
      </w:r>
    </w:p>
    <w:p w:rsidR="009B2F4C" w:rsidRPr="00494885" w:rsidRDefault="009B2F4C" w:rsidP="00494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5965">
        <w:rPr>
          <w:rFonts w:ascii="Times New Roman" w:hAnsi="Times New Roman" w:cs="Times New Roman"/>
          <w:sz w:val="28"/>
          <w:szCs w:val="28"/>
        </w:rPr>
        <w:t xml:space="preserve">      В 2019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 сеть общеобразовательных учреждений на территории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 муниципального района состояла из 10 общеобразовательн</w:t>
      </w:r>
      <w:r w:rsidR="00055965">
        <w:rPr>
          <w:rFonts w:ascii="Times New Roman" w:hAnsi="Times New Roman" w:cs="Times New Roman"/>
          <w:sz w:val="28"/>
          <w:szCs w:val="28"/>
        </w:rPr>
        <w:t>ых учреждений:  в том числе 5 общеобразовательных учреждений</w:t>
      </w:r>
      <w:r w:rsidRPr="00494885">
        <w:rPr>
          <w:rFonts w:ascii="Times New Roman" w:hAnsi="Times New Roman" w:cs="Times New Roman"/>
          <w:sz w:val="28"/>
          <w:szCs w:val="28"/>
        </w:rPr>
        <w:t xml:space="preserve">  сред</w:t>
      </w:r>
      <w:r w:rsidR="00055965">
        <w:rPr>
          <w:rFonts w:ascii="Times New Roman" w:hAnsi="Times New Roman" w:cs="Times New Roman"/>
          <w:sz w:val="28"/>
          <w:szCs w:val="28"/>
        </w:rPr>
        <w:t>него  общего образования  и 5 общеобразовательных учреждений</w:t>
      </w:r>
      <w:r w:rsidRPr="00494885">
        <w:rPr>
          <w:rFonts w:ascii="Times New Roman" w:hAnsi="Times New Roman" w:cs="Times New Roman"/>
          <w:sz w:val="28"/>
          <w:szCs w:val="28"/>
        </w:rPr>
        <w:t xml:space="preserve">  основного общего образования. 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885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образовательных учреждениях   района  по состоянию на 01.09.201</w:t>
      </w:r>
      <w:r w:rsidR="00055965">
        <w:rPr>
          <w:rFonts w:ascii="Times New Roman" w:hAnsi="Times New Roman" w:cs="Times New Roman"/>
          <w:sz w:val="28"/>
          <w:szCs w:val="28"/>
        </w:rPr>
        <w:t>9</w:t>
      </w:r>
      <w:r w:rsidR="009111E8">
        <w:rPr>
          <w:rFonts w:ascii="Times New Roman" w:hAnsi="Times New Roman" w:cs="Times New Roman"/>
          <w:sz w:val="28"/>
          <w:szCs w:val="28"/>
        </w:rPr>
        <w:t xml:space="preserve">  </w:t>
      </w:r>
      <w:r w:rsidRPr="00494885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685195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685195" w:rsidRPr="00685195">
        <w:rPr>
          <w:rFonts w:ascii="Times New Roman" w:hAnsi="Times New Roman" w:cs="Times New Roman"/>
          <w:sz w:val="28"/>
          <w:szCs w:val="28"/>
        </w:rPr>
        <w:t xml:space="preserve"> 2</w:t>
      </w:r>
      <w:r w:rsidR="00055965">
        <w:rPr>
          <w:rFonts w:ascii="Times New Roman" w:hAnsi="Times New Roman" w:cs="Times New Roman"/>
          <w:sz w:val="28"/>
          <w:szCs w:val="28"/>
        </w:rPr>
        <w:t>368</w:t>
      </w:r>
      <w:r w:rsidR="00241F37" w:rsidRPr="009111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5195" w:rsidRPr="00685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94885">
        <w:rPr>
          <w:rFonts w:ascii="Times New Roman" w:hAnsi="Times New Roman" w:cs="Times New Roman"/>
          <w:sz w:val="28"/>
          <w:szCs w:val="28"/>
        </w:rPr>
        <w:t>бучающихся.</w:t>
      </w:r>
      <w:proofErr w:type="gramEnd"/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 В первых классах обучал</w:t>
      </w:r>
      <w:r w:rsidR="00241F37">
        <w:rPr>
          <w:rFonts w:ascii="Times New Roman" w:hAnsi="Times New Roman" w:cs="Times New Roman"/>
          <w:sz w:val="28"/>
          <w:szCs w:val="28"/>
        </w:rPr>
        <w:t xml:space="preserve">ось </w:t>
      </w:r>
      <w:r w:rsidRPr="00494885">
        <w:rPr>
          <w:rFonts w:ascii="Times New Roman" w:hAnsi="Times New Roman" w:cs="Times New Roman"/>
          <w:sz w:val="28"/>
          <w:szCs w:val="28"/>
        </w:rPr>
        <w:t xml:space="preserve"> 2</w:t>
      </w:r>
      <w:r w:rsidR="00055965">
        <w:rPr>
          <w:rFonts w:ascii="Times New Roman" w:hAnsi="Times New Roman" w:cs="Times New Roman"/>
          <w:sz w:val="28"/>
          <w:szCs w:val="28"/>
        </w:rPr>
        <w:t>93</w:t>
      </w:r>
      <w:r w:rsidR="009111E8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F505DB">
        <w:rPr>
          <w:rFonts w:ascii="Times New Roman" w:hAnsi="Times New Roman" w:cs="Times New Roman"/>
          <w:sz w:val="28"/>
          <w:szCs w:val="28"/>
        </w:rPr>
        <w:t>а</w:t>
      </w:r>
      <w:r w:rsidRPr="004948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2F4C" w:rsidRPr="00494885" w:rsidRDefault="009B2F4C" w:rsidP="004948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   Субвенции на расходы по общему образованию  составили за три года:   </w:t>
      </w:r>
    </w:p>
    <w:p w:rsidR="009B2F4C" w:rsidRPr="007D6393" w:rsidRDefault="00241F37" w:rsidP="00494885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5D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F505DB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B2F4C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 </w:t>
      </w:r>
      <w:r w:rsidR="007D6393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81997431</w:t>
      </w:r>
      <w:r w:rsidR="00D94AD7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F4C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241F37" w:rsidRPr="007D6393" w:rsidRDefault="00F505DB" w:rsidP="00494885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2018</w:t>
      </w:r>
      <w:r w:rsidR="009B2F4C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D94AD7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393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87567000</w:t>
      </w:r>
      <w:r w:rsidR="00D94AD7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F4C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9B2F4C" w:rsidRPr="007D6393" w:rsidRDefault="00241F37" w:rsidP="00494885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505DB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94AD7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</w:t>
      </w:r>
      <w:r w:rsidR="00BB5414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393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88155000</w:t>
      </w:r>
      <w:r w:rsidR="008A2814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9B2F4C" w:rsidRPr="00494885" w:rsidRDefault="009B2F4C" w:rsidP="004948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Участие образовательных учреждений  района в  реализации мероприятий комплекса по модернизации региональной  системы  образования позволило значительно улучшить учебно-лабораторное оборудование школ,  обеспечить   </w:t>
      </w:r>
      <w:r w:rsidRPr="0049488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 процесс компьютерной техникой, интерактивными средствами обучения. </w:t>
      </w:r>
    </w:p>
    <w:p w:rsidR="009B2F4C" w:rsidRPr="00494885" w:rsidRDefault="009B2F4C" w:rsidP="00FC0ED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94885">
        <w:rPr>
          <w:color w:val="000000"/>
          <w:sz w:val="28"/>
          <w:szCs w:val="28"/>
        </w:rPr>
        <w:t xml:space="preserve">Общеобразовательные учреждения района подключены к скоростному Интернету. Во всех учреждениях  созданы сайты. Всего в образовательных учреждениях </w:t>
      </w:r>
      <w:proofErr w:type="spellStart"/>
      <w:r w:rsidRPr="00494885">
        <w:rPr>
          <w:color w:val="000000"/>
          <w:sz w:val="28"/>
          <w:szCs w:val="28"/>
        </w:rPr>
        <w:t>Дигорского</w:t>
      </w:r>
      <w:proofErr w:type="spellEnd"/>
      <w:r w:rsidRPr="00494885">
        <w:rPr>
          <w:color w:val="000000"/>
          <w:sz w:val="28"/>
          <w:szCs w:val="28"/>
        </w:rPr>
        <w:t xml:space="preserve"> район</w:t>
      </w:r>
      <w:r w:rsidR="00496DA8">
        <w:rPr>
          <w:color w:val="000000"/>
          <w:sz w:val="28"/>
          <w:szCs w:val="28"/>
        </w:rPr>
        <w:t xml:space="preserve"> 700</w:t>
      </w:r>
      <w:r w:rsidRPr="00494885">
        <w:rPr>
          <w:color w:val="000000"/>
          <w:sz w:val="28"/>
          <w:szCs w:val="28"/>
        </w:rPr>
        <w:t xml:space="preserve"> </w:t>
      </w:r>
      <w:r w:rsidR="00496DA8">
        <w:rPr>
          <w:color w:val="000000"/>
          <w:sz w:val="28"/>
          <w:szCs w:val="28"/>
        </w:rPr>
        <w:t>компьютеров (на 1 компьютер – 9</w:t>
      </w:r>
      <w:r w:rsidRPr="00494885">
        <w:rPr>
          <w:color w:val="000000"/>
          <w:sz w:val="28"/>
          <w:szCs w:val="28"/>
        </w:rPr>
        <w:t xml:space="preserve"> обучающихся). </w:t>
      </w:r>
    </w:p>
    <w:p w:rsidR="009B2F4C" w:rsidRPr="00494885" w:rsidRDefault="009B2F4C" w:rsidP="00FC0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Одним из основных критериев работы общеобразовательного учреждения, управления образования является прохождение выпускниками государственной (итоговой) аттестации.</w:t>
      </w:r>
    </w:p>
    <w:p w:rsidR="009B2F4C" w:rsidRPr="00AA3B1F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B1F">
        <w:rPr>
          <w:rFonts w:ascii="Times New Roman" w:hAnsi="Times New Roman" w:cs="Times New Roman"/>
          <w:sz w:val="28"/>
          <w:szCs w:val="28"/>
        </w:rPr>
        <w:t>В 201</w:t>
      </w:r>
      <w:r w:rsidR="00F505DB" w:rsidRPr="00AA3B1F">
        <w:rPr>
          <w:rFonts w:ascii="Times New Roman" w:hAnsi="Times New Roman" w:cs="Times New Roman"/>
          <w:sz w:val="28"/>
          <w:szCs w:val="28"/>
        </w:rPr>
        <w:t>9</w:t>
      </w:r>
      <w:r w:rsidR="00241F37" w:rsidRPr="00AA3B1F">
        <w:rPr>
          <w:rFonts w:ascii="Times New Roman" w:hAnsi="Times New Roman" w:cs="Times New Roman"/>
          <w:sz w:val="28"/>
          <w:szCs w:val="28"/>
        </w:rPr>
        <w:t xml:space="preserve"> </w:t>
      </w:r>
      <w:r w:rsidRPr="00AA3B1F">
        <w:rPr>
          <w:rFonts w:ascii="Times New Roman" w:hAnsi="Times New Roman" w:cs="Times New Roman"/>
          <w:sz w:val="28"/>
          <w:szCs w:val="28"/>
        </w:rPr>
        <w:t xml:space="preserve"> году в государственной итоговой аттестации выпускников в форме ЕГЭ приняли участие </w:t>
      </w:r>
      <w:r w:rsidR="00C1020B" w:rsidRPr="00AA3B1F">
        <w:rPr>
          <w:rFonts w:ascii="Times New Roman" w:hAnsi="Times New Roman" w:cs="Times New Roman"/>
          <w:sz w:val="28"/>
          <w:szCs w:val="28"/>
        </w:rPr>
        <w:t>77</w:t>
      </w:r>
      <w:r w:rsidRPr="00AA3B1F">
        <w:rPr>
          <w:rFonts w:ascii="Times New Roman" w:hAnsi="Times New Roman" w:cs="Times New Roman"/>
          <w:sz w:val="28"/>
          <w:szCs w:val="28"/>
        </w:rPr>
        <w:t xml:space="preserve"> выпускника 11 классов. Из них </w:t>
      </w:r>
      <w:r w:rsidR="00AA3B1F" w:rsidRPr="00AA3B1F">
        <w:rPr>
          <w:rFonts w:ascii="Times New Roman" w:hAnsi="Times New Roman" w:cs="Times New Roman"/>
          <w:sz w:val="28"/>
          <w:szCs w:val="28"/>
        </w:rPr>
        <w:t>20</w:t>
      </w:r>
      <w:r w:rsidRPr="00AA3B1F">
        <w:rPr>
          <w:rFonts w:ascii="Times New Roman" w:hAnsi="Times New Roman" w:cs="Times New Roman"/>
          <w:sz w:val="28"/>
          <w:szCs w:val="28"/>
        </w:rPr>
        <w:t xml:space="preserve"> выпускников получили аттестаты о среднем общем обра</w:t>
      </w:r>
      <w:r w:rsidR="00AA3B1F" w:rsidRPr="00AA3B1F">
        <w:rPr>
          <w:rFonts w:ascii="Times New Roman" w:hAnsi="Times New Roman" w:cs="Times New Roman"/>
          <w:sz w:val="28"/>
          <w:szCs w:val="28"/>
        </w:rPr>
        <w:t>зовании особого образца.</w:t>
      </w:r>
    </w:p>
    <w:p w:rsidR="009B2F4C" w:rsidRPr="00AA3B1F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B1F">
        <w:rPr>
          <w:rFonts w:ascii="Times New Roman" w:hAnsi="Times New Roman" w:cs="Times New Roman"/>
          <w:sz w:val="28"/>
          <w:szCs w:val="28"/>
        </w:rPr>
        <w:t>В целях объективности и прозрачности процедуры проведения ЕГЭ сформирована система независимого общественного наблюдения.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Нормативные требования по реализации прав граждан на образование  выполняются. Случаев отчисления учащихся из общеобразовательных учреждений в 201</w:t>
      </w:r>
      <w:r w:rsidR="00F505DB">
        <w:rPr>
          <w:rFonts w:ascii="Times New Roman" w:hAnsi="Times New Roman" w:cs="Times New Roman"/>
          <w:sz w:val="28"/>
          <w:szCs w:val="28"/>
        </w:rPr>
        <w:t>9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 не было. Данный </w:t>
      </w:r>
      <w:r w:rsidR="00FC0ED1">
        <w:rPr>
          <w:rFonts w:ascii="Times New Roman" w:hAnsi="Times New Roman" w:cs="Times New Roman"/>
          <w:sz w:val="28"/>
          <w:szCs w:val="28"/>
        </w:rPr>
        <w:t>вопрос находится под контролем У</w:t>
      </w:r>
      <w:r w:rsidRPr="00494885">
        <w:rPr>
          <w:rFonts w:ascii="Times New Roman" w:hAnsi="Times New Roman" w:cs="Times New Roman"/>
          <w:sz w:val="28"/>
          <w:szCs w:val="28"/>
        </w:rPr>
        <w:t xml:space="preserve">правления образования.  Выбывали дети из </w:t>
      </w:r>
      <w:r w:rsidR="00FC0ED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494885">
        <w:rPr>
          <w:rFonts w:ascii="Times New Roman" w:hAnsi="Times New Roman" w:cs="Times New Roman"/>
          <w:sz w:val="28"/>
          <w:szCs w:val="28"/>
        </w:rPr>
        <w:t xml:space="preserve"> в другие школы и районы  только по причине смены места жительства. Подростков без определенных занятий в районе нет. </w:t>
      </w:r>
    </w:p>
    <w:p w:rsidR="009B2F4C" w:rsidRPr="007D6393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статистической отчетности в 201</w:t>
      </w:r>
      <w:r w:rsidR="00F505DB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в образовательны</w:t>
      </w:r>
      <w:r w:rsidR="00F505DB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х учреждениях района работало 85</w:t>
      </w:r>
      <w:r w:rsidR="009111E8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в том чи</w:t>
      </w:r>
      <w:r w:rsidR="00F505DB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сле 23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руководящих работника, 4</w:t>
      </w:r>
      <w:r w:rsidR="009111E8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педагогических. Учителей пенсионного возраста в школах </w:t>
      </w:r>
      <w:r w:rsidR="009111E8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более 4</w:t>
      </w:r>
      <w:r w:rsidR="00E643E2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857DC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молодых специалистов всего  </w:t>
      </w:r>
      <w:r w:rsidR="00E643E2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37B6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0%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. Средний возраст учителей продолжает оставаться в пределах 4</w:t>
      </w:r>
      <w:r w:rsidR="00E643E2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лет. Численность обучающихся на 1 педагога составила 10 человек.</w:t>
      </w:r>
    </w:p>
    <w:p w:rsidR="009B2F4C" w:rsidRPr="00F505DB" w:rsidRDefault="009B2F4C" w:rsidP="0049488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ab/>
      </w:r>
      <w:r w:rsidRPr="00F50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2F4C" w:rsidRPr="00494885" w:rsidRDefault="009B2F4C" w:rsidP="0049488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получения качественного образования,  в общеобразовательных </w:t>
      </w:r>
      <w:r w:rsidR="006857DC">
        <w:rPr>
          <w:rFonts w:ascii="Times New Roman" w:hAnsi="Times New Roman" w:cs="Times New Roman"/>
          <w:sz w:val="28"/>
          <w:szCs w:val="28"/>
        </w:rPr>
        <w:t>учреждениях</w:t>
      </w: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района  созданы  условия для дифференцированного обучения. Дети  с ограниченными возможностями здоровья, </w:t>
      </w:r>
      <w:r w:rsidRPr="00494885">
        <w:rPr>
          <w:rFonts w:ascii="Times New Roman" w:hAnsi="Times New Roman" w:cs="Times New Roman"/>
          <w:sz w:val="28"/>
          <w:szCs w:val="28"/>
        </w:rPr>
        <w:lastRenderedPageBreak/>
        <w:t xml:space="preserve">испытывающие трудности в обучении, обучаются по индивидуальным  программам обучения. Всего за отчетный период в школах района  обучалось </w:t>
      </w:r>
      <w:r w:rsidR="00F505DB">
        <w:rPr>
          <w:rFonts w:ascii="Times New Roman" w:hAnsi="Times New Roman" w:cs="Times New Roman"/>
          <w:sz w:val="28"/>
          <w:szCs w:val="28"/>
        </w:rPr>
        <w:t>37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детей-инвалидов, в том числе </w:t>
      </w:r>
      <w:r w:rsidR="00F333A1">
        <w:rPr>
          <w:rFonts w:ascii="Times New Roman" w:hAnsi="Times New Roman" w:cs="Times New Roman"/>
          <w:sz w:val="28"/>
          <w:szCs w:val="28"/>
        </w:rPr>
        <w:t xml:space="preserve">6 </w:t>
      </w:r>
      <w:r w:rsidRPr="00494885">
        <w:rPr>
          <w:rFonts w:ascii="Times New Roman" w:hAnsi="Times New Roman" w:cs="Times New Roman"/>
          <w:sz w:val="28"/>
          <w:szCs w:val="28"/>
        </w:rPr>
        <w:t>детей с применением дистанционных технологий.</w:t>
      </w:r>
    </w:p>
    <w:p w:rsidR="009B2F4C" w:rsidRPr="008A2814" w:rsidRDefault="009B2F4C" w:rsidP="0049488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14">
        <w:rPr>
          <w:rFonts w:ascii="Times New Roman" w:hAnsi="Times New Roman" w:cs="Times New Roman"/>
          <w:sz w:val="28"/>
          <w:szCs w:val="28"/>
        </w:rPr>
        <w:t>В це</w:t>
      </w:r>
      <w:r w:rsidR="006857DC">
        <w:rPr>
          <w:rFonts w:ascii="Times New Roman" w:hAnsi="Times New Roman" w:cs="Times New Roman"/>
          <w:sz w:val="28"/>
          <w:szCs w:val="28"/>
        </w:rPr>
        <w:t>лях создания в образовательных учреждени</w:t>
      </w:r>
      <w:r w:rsidRPr="008A2814">
        <w:rPr>
          <w:rFonts w:ascii="Times New Roman" w:hAnsi="Times New Roman" w:cs="Times New Roman"/>
          <w:sz w:val="28"/>
          <w:szCs w:val="28"/>
        </w:rPr>
        <w:t xml:space="preserve">ях универсальной </w:t>
      </w:r>
      <w:proofErr w:type="spellStart"/>
      <w:r w:rsidRPr="008A281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A2814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 – инвалидов и детей,  не имеющих нарушений в развитии,  администрация  </w:t>
      </w:r>
      <w:proofErr w:type="spellStart"/>
      <w:r w:rsidRPr="008A2814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8A2814">
        <w:rPr>
          <w:rFonts w:ascii="Times New Roman" w:hAnsi="Times New Roman" w:cs="Times New Roman"/>
          <w:sz w:val="28"/>
          <w:szCs w:val="28"/>
        </w:rPr>
        <w:t xml:space="preserve">  района приняла участие в </w:t>
      </w:r>
      <w:proofErr w:type="spellStart"/>
      <w:r w:rsidRPr="008A281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8A2814">
        <w:rPr>
          <w:rFonts w:ascii="Times New Roman" w:hAnsi="Times New Roman" w:cs="Times New Roman"/>
          <w:sz w:val="28"/>
          <w:szCs w:val="28"/>
        </w:rPr>
        <w:t xml:space="preserve"> государственной программы    «Доступная среда» в дошкольных образовательных учреждениях.</w:t>
      </w:r>
    </w:p>
    <w:p w:rsidR="009B2F4C" w:rsidRPr="00494885" w:rsidRDefault="00D60B7B" w:rsidP="0049488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осуществляется поэтапный переход на </w:t>
      </w:r>
      <w:r w:rsidRPr="00494885">
        <w:rPr>
          <w:rFonts w:ascii="Times New Roman" w:hAnsi="Times New Roman" w:cs="Times New Roman"/>
          <w:spacing w:val="-6"/>
          <w:sz w:val="28"/>
          <w:szCs w:val="28"/>
        </w:rPr>
        <w:t xml:space="preserve">новые федеральные  государственные образовательные стандарты основного  общего образования. </w:t>
      </w:r>
      <w:r w:rsidRPr="00494885">
        <w:rPr>
          <w:rFonts w:ascii="Times New Roman" w:hAnsi="Times New Roman" w:cs="Times New Roman"/>
          <w:sz w:val="28"/>
          <w:szCs w:val="28"/>
        </w:rPr>
        <w:t>В 201</w:t>
      </w:r>
      <w:r w:rsidR="00F505DB">
        <w:rPr>
          <w:rFonts w:ascii="Times New Roman" w:hAnsi="Times New Roman" w:cs="Times New Roman"/>
          <w:sz w:val="28"/>
          <w:szCs w:val="28"/>
        </w:rPr>
        <w:t>9</w:t>
      </w:r>
      <w:r w:rsidR="00D94AD7">
        <w:rPr>
          <w:rFonts w:ascii="Times New Roman" w:hAnsi="Times New Roman" w:cs="Times New Roman"/>
          <w:sz w:val="28"/>
          <w:szCs w:val="28"/>
        </w:rPr>
        <w:t xml:space="preserve"> </w:t>
      </w:r>
      <w:r w:rsidR="008A2DFC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>го</w:t>
      </w:r>
      <w:r w:rsidR="00F505DB">
        <w:rPr>
          <w:rFonts w:ascii="Times New Roman" w:hAnsi="Times New Roman" w:cs="Times New Roman"/>
          <w:sz w:val="28"/>
          <w:szCs w:val="28"/>
        </w:rPr>
        <w:t>ду на ФГОС ООО перешли все</w:t>
      </w:r>
      <w:r w:rsidR="00D94AD7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 xml:space="preserve"> классы школ района.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Все общеобразовательные организации укомплектованы соответствующей учебной литературой, более 8</w:t>
      </w:r>
      <w:r w:rsidR="00156E63">
        <w:rPr>
          <w:rFonts w:ascii="Times New Roman" w:hAnsi="Times New Roman" w:cs="Times New Roman"/>
          <w:sz w:val="28"/>
          <w:szCs w:val="28"/>
        </w:rPr>
        <w:t>5</w:t>
      </w:r>
      <w:r w:rsidRPr="00494885">
        <w:rPr>
          <w:rFonts w:ascii="Times New Roman" w:hAnsi="Times New Roman" w:cs="Times New Roman"/>
          <w:sz w:val="28"/>
          <w:szCs w:val="28"/>
        </w:rPr>
        <w:t xml:space="preserve"> % учителей регулярно используют  электронные образовательные ресурсы на учебных занятиях. Внедряются  новые подходы к оценке качества образовательных достижений учащихся начальной школы.</w:t>
      </w:r>
    </w:p>
    <w:p w:rsidR="009B2F4C" w:rsidRPr="00494885" w:rsidRDefault="009B2F4C" w:rsidP="0005110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ab/>
        <w:t>В районе  проводилась системная работа по обеспечению должного уровня профессиональной готовности педагогов для работы в условиях введения ФГОС.</w:t>
      </w:r>
      <w:r w:rsidRPr="004948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Обеспечены условия для прохождения руководителями образовательных учреждений и педагогическими работниками  своевременного подтверждения соответствия занимаемой должности, заявленных квалификационных категорий</w:t>
      </w:r>
      <w:r w:rsidRPr="00494885">
        <w:rPr>
          <w:rFonts w:ascii="Times New Roman" w:hAnsi="Times New Roman" w:cs="Times New Roman"/>
          <w:sz w:val="28"/>
          <w:szCs w:val="28"/>
        </w:rPr>
        <w:t>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имеющих высшее  профессиональное </w:t>
      </w:r>
      <w:r w:rsidR="00156E63">
        <w:rPr>
          <w:rFonts w:ascii="Times New Roman" w:hAnsi="Times New Roman" w:cs="Times New Roman"/>
          <w:sz w:val="28"/>
          <w:szCs w:val="28"/>
        </w:rPr>
        <w:t xml:space="preserve"> образование - </w:t>
      </w:r>
      <w:r w:rsidRPr="00494885">
        <w:rPr>
          <w:rFonts w:ascii="Times New Roman" w:hAnsi="Times New Roman" w:cs="Times New Roman"/>
          <w:sz w:val="28"/>
          <w:szCs w:val="28"/>
        </w:rPr>
        <w:t>80%.</w:t>
      </w:r>
    </w:p>
    <w:p w:rsidR="009B2F4C" w:rsidRPr="00494885" w:rsidRDefault="009B2F4C" w:rsidP="00494885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 w:rsidRPr="00494885">
        <w:rPr>
          <w:sz w:val="28"/>
          <w:szCs w:val="28"/>
        </w:rPr>
        <w:t xml:space="preserve">На протяжении последних лет прослеживается положительная динамика охвата курсовой подготовки педагогических работников муниципальных образовательных учреждений.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Важным   аспектом   профессиональной компетентности педагогических работников являются аттестационные процедуры.  Используется независимая система аттестации педагогических кадров, обеспечивающая возможность </w:t>
      </w:r>
      <w:r w:rsidRPr="00494885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автоматизированного и дистанционного варианта осуществления  аттестационных процедур. </w:t>
      </w:r>
    </w:p>
    <w:p w:rsidR="009B2F4C" w:rsidRPr="007D6393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</w:t>
      </w:r>
      <w:r w:rsidR="00F505DB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аттестовано </w:t>
      </w:r>
      <w:r w:rsidR="007D6393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</w:t>
      </w:r>
      <w:r w:rsidR="00BB5414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E643E2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работник</w:t>
      </w:r>
      <w:r w:rsidR="00BB5414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т.ч. на высшую квалификационную категорию – </w:t>
      </w:r>
      <w:r w:rsidR="007D6393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первую – </w:t>
      </w:r>
      <w:r w:rsidR="007D6393"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7D63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образования </w:t>
      </w:r>
      <w:proofErr w:type="spellStart"/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>Дигорского</w:t>
      </w:r>
      <w:proofErr w:type="spellEnd"/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обеспечена пе</w:t>
      </w:r>
      <w:r w:rsidR="00156E63"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дагогическими</w:t>
      </w:r>
      <w:r w:rsidR="00156E63">
        <w:rPr>
          <w:rFonts w:ascii="Times New Roman" w:hAnsi="Times New Roman" w:cs="Times New Roman"/>
          <w:sz w:val="28"/>
          <w:szCs w:val="28"/>
        </w:rPr>
        <w:t xml:space="preserve"> кадрами.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организации комфортных и безопасных условий организации образовательного пространства является реализация мероприятий по обеспечению безопасности муниципальных образовательных учреждений</w:t>
      </w:r>
      <w:r w:rsidRPr="00494885">
        <w:rPr>
          <w:rFonts w:ascii="Times New Roman" w:hAnsi="Times New Roman" w:cs="Times New Roman"/>
          <w:sz w:val="28"/>
          <w:szCs w:val="28"/>
        </w:rPr>
        <w:t>, направленных на защиту здоровья и на сохранение жизни детей.</w:t>
      </w:r>
    </w:p>
    <w:p w:rsidR="009B2F4C" w:rsidRPr="00494885" w:rsidRDefault="009B2F4C" w:rsidP="00494885">
      <w:pPr>
        <w:spacing w:after="0" w:line="36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Все школы, за исключением двух,  оборудованы системами автоматической пожарной сигнализации и оповещения людей о пожаре.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Выполнены мероприятия по усилению пожарной безопасности образовательных организаций района, а именно: перезаряжены огнетушители, выполнены замеры сопротивления </w:t>
      </w:r>
      <w:proofErr w:type="gramStart"/>
      <w:r w:rsidRPr="00494885">
        <w:rPr>
          <w:rFonts w:ascii="Times New Roman" w:hAnsi="Times New Roman" w:cs="Times New Roman"/>
          <w:sz w:val="28"/>
          <w:szCs w:val="28"/>
        </w:rPr>
        <w:t>изоляции</w:t>
      </w:r>
      <w:proofErr w:type="gramEnd"/>
      <w:r w:rsidRPr="00494885">
        <w:rPr>
          <w:rFonts w:ascii="Times New Roman" w:hAnsi="Times New Roman" w:cs="Times New Roman"/>
          <w:sz w:val="28"/>
          <w:szCs w:val="28"/>
        </w:rPr>
        <w:t xml:space="preserve">  электропроводки, выполнены работы по монтажу и обслуживанию систем автоматической пожарной сигнализации и оповещения людей о пожаре, однако в двух школах г.</w:t>
      </w:r>
      <w:r w:rsidR="00051108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>Дигоры, АПС не подлежит ремонту. Приведены в соответствие с противопожарными нормами пути эвакуации детей.</w:t>
      </w:r>
    </w:p>
    <w:p w:rsidR="009B2F4C" w:rsidRPr="001E00A6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A8">
        <w:rPr>
          <w:rFonts w:ascii="Times New Roman" w:hAnsi="Times New Roman" w:cs="Times New Roman"/>
          <w:sz w:val="28"/>
          <w:szCs w:val="28"/>
        </w:rPr>
        <w:t>По состоянию на 201</w:t>
      </w:r>
      <w:r w:rsidR="00F505DB" w:rsidRPr="00496DA8">
        <w:rPr>
          <w:rFonts w:ascii="Times New Roman" w:hAnsi="Times New Roman" w:cs="Times New Roman"/>
          <w:sz w:val="28"/>
          <w:szCs w:val="28"/>
        </w:rPr>
        <w:t>9</w:t>
      </w:r>
      <w:r w:rsidRPr="00496DA8">
        <w:rPr>
          <w:rFonts w:ascii="Times New Roman" w:hAnsi="Times New Roman" w:cs="Times New Roman"/>
          <w:sz w:val="28"/>
          <w:szCs w:val="28"/>
        </w:rPr>
        <w:t xml:space="preserve"> год 100% общеобразовательных организаций имеют «тревожную кнопку», 100% имеют сторожевую охрану, 100% имеют видеонаблюдение</w:t>
      </w:r>
      <w:r w:rsidRPr="001E00A6">
        <w:rPr>
          <w:rFonts w:ascii="Times New Roman" w:hAnsi="Times New Roman" w:cs="Times New Roman"/>
          <w:sz w:val="28"/>
          <w:szCs w:val="28"/>
        </w:rPr>
        <w:t>. Всего в 201</w:t>
      </w:r>
      <w:r w:rsidR="00F505DB" w:rsidRPr="001E00A6">
        <w:rPr>
          <w:rFonts w:ascii="Times New Roman" w:hAnsi="Times New Roman" w:cs="Times New Roman"/>
          <w:sz w:val="28"/>
          <w:szCs w:val="28"/>
        </w:rPr>
        <w:t>9</w:t>
      </w:r>
      <w:r w:rsidRPr="001E00A6">
        <w:rPr>
          <w:rFonts w:ascii="Times New Roman" w:hAnsi="Times New Roman" w:cs="Times New Roman"/>
          <w:sz w:val="28"/>
          <w:szCs w:val="28"/>
        </w:rPr>
        <w:t xml:space="preserve"> году объем </w:t>
      </w:r>
      <w:proofErr w:type="gramStart"/>
      <w:r w:rsidRPr="001E00A6">
        <w:rPr>
          <w:rFonts w:ascii="Times New Roman" w:hAnsi="Times New Roman" w:cs="Times New Roman"/>
          <w:sz w:val="28"/>
          <w:szCs w:val="28"/>
        </w:rPr>
        <w:t>финансовых средств, поступивших в образовательные учреждения  на обеспечение безопасности составил</w:t>
      </w:r>
      <w:proofErr w:type="gramEnd"/>
      <w:r w:rsidR="001E00A6" w:rsidRPr="001E00A6">
        <w:rPr>
          <w:rFonts w:ascii="Times New Roman" w:hAnsi="Times New Roman" w:cs="Times New Roman"/>
          <w:sz w:val="28"/>
          <w:szCs w:val="28"/>
        </w:rPr>
        <w:t xml:space="preserve"> 1941,1</w:t>
      </w:r>
      <w:r w:rsidR="00D60B7B" w:rsidRPr="001E00A6">
        <w:rPr>
          <w:rFonts w:ascii="Times New Roman" w:hAnsi="Times New Roman" w:cs="Times New Roman"/>
          <w:sz w:val="28"/>
          <w:szCs w:val="28"/>
        </w:rPr>
        <w:t xml:space="preserve"> </w:t>
      </w:r>
      <w:r w:rsidRPr="001E00A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Важной задачей обеспечения комплексной безопасности является обеспечение информационной безопасности при использовании в ОУ доступа в сеть Интернет. Во всех ОУ на компьютерах, имеющих доступ к сет</w:t>
      </w:r>
      <w:r w:rsidR="00051108">
        <w:rPr>
          <w:rFonts w:ascii="Times New Roman" w:hAnsi="Times New Roman" w:cs="Times New Roman"/>
          <w:sz w:val="28"/>
          <w:szCs w:val="28"/>
        </w:rPr>
        <w:t>и Интернет, установлены система</w:t>
      </w: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фильтрации.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Одним из основных факторов сохранения и укрепления </w:t>
      </w:r>
      <w:proofErr w:type="gramStart"/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>здоровья</w:t>
      </w:r>
      <w:proofErr w:type="gramEnd"/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и эффективности их обучения является организация рационального питания во время пребывания в школе.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всех школах района было организовано </w:t>
      </w:r>
      <w:r w:rsidR="008A2814">
        <w:rPr>
          <w:rFonts w:ascii="Times New Roman" w:eastAsia="Times New Roman" w:hAnsi="Times New Roman" w:cs="Times New Roman"/>
          <w:bCs/>
          <w:sz w:val="28"/>
          <w:szCs w:val="28"/>
        </w:rPr>
        <w:t>одноразовое</w:t>
      </w:r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горячее питание для учащихся начальных классов. Охват одноразовым горячим питанием в среднем по району составил  5</w:t>
      </w:r>
      <w:r w:rsidR="00E643E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9B2F4C" w:rsidRPr="00494885" w:rsidRDefault="009B2F4C" w:rsidP="000511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школах  района созданы все условия для организации полноценного питания детей.  </w:t>
      </w:r>
    </w:p>
    <w:p w:rsidR="009B2F4C" w:rsidRPr="00494885" w:rsidRDefault="009B2F4C" w:rsidP="00494885">
      <w:pPr>
        <w:tabs>
          <w:tab w:val="left" w:pos="0"/>
          <w:tab w:val="left" w:pos="7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В целях обеспечения соблюдения принципа государственно-общественного управления в деятельности образовательных организаций осуществляется организационно - управленческая и информационно-методическая работа.</w:t>
      </w:r>
    </w:p>
    <w:p w:rsidR="009B2F4C" w:rsidRPr="00494885" w:rsidRDefault="009B2F4C" w:rsidP="00494885">
      <w:pPr>
        <w:tabs>
          <w:tab w:val="left" w:pos="0"/>
          <w:tab w:val="left" w:pos="7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Участие общественности в управлении реализуется через органы государственно-общественного управления. Коллегиальным органом государственно-общественного управления на районном уровне является муниципальный Общественный Совет. В состав Совета входят представители исполнительной и законодательной власти района, руководители образовательных организаций, родители, руководители организаций и другие представители общественности.</w:t>
      </w:r>
    </w:p>
    <w:p w:rsidR="009B2F4C" w:rsidRPr="00494885" w:rsidRDefault="009B2F4C" w:rsidP="00494885">
      <w:pPr>
        <w:tabs>
          <w:tab w:val="left" w:pos="0"/>
          <w:tab w:val="left" w:pos="7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Ежеквартально проводились заседания Совета, в рамках которых рассматривались актуальные вопросы развития образования.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Расширение открытости деятельности образовательных организаций осуществлялось посредством представления общественности публичного доклада. Доля образовательных организаций, которые представили общественности публичный доклад (от общего числа образовательных организаций) в 201</w:t>
      </w:r>
      <w:r w:rsidR="00F505DB">
        <w:rPr>
          <w:rFonts w:ascii="Times New Roman" w:hAnsi="Times New Roman" w:cs="Times New Roman"/>
          <w:sz w:val="28"/>
          <w:szCs w:val="28"/>
        </w:rPr>
        <w:t>9</w:t>
      </w:r>
      <w:r w:rsidR="00E643E2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>году составила 100%.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 обеспечения доступности  общего образования детей, живущих в отдаленных селах, осуществляется подвоз учащихся 10-11 классов на автотранспорте к месту учебы из 3 населенных пунктов (с. </w:t>
      </w:r>
      <w:proofErr w:type="spellStart"/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>Кора-Урсдон</w:t>
      </w:r>
      <w:proofErr w:type="spellEnd"/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>Синдзикау</w:t>
      </w:r>
      <w:proofErr w:type="spellEnd"/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0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="00F505DB">
        <w:rPr>
          <w:rFonts w:ascii="Times New Roman" w:hAnsi="Times New Roman" w:cs="Times New Roman"/>
          <w:sz w:val="28"/>
          <w:szCs w:val="28"/>
          <w:shd w:val="clear" w:color="auto" w:fill="FFFFFF"/>
        </w:rPr>
        <w:t>Мостиздах</w:t>
      </w:r>
      <w:proofErr w:type="spellEnd"/>
      <w:r w:rsidR="00F50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505D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F505DB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gramEnd"/>
      <w:r w:rsidR="00F505DB">
        <w:rPr>
          <w:rFonts w:ascii="Times New Roman" w:hAnsi="Times New Roman" w:cs="Times New Roman"/>
          <w:sz w:val="28"/>
          <w:szCs w:val="28"/>
          <w:shd w:val="clear" w:color="auto" w:fill="FFFFFF"/>
        </w:rPr>
        <w:t>ур-Дур</w:t>
      </w:r>
      <w:proofErr w:type="spellEnd"/>
      <w:r w:rsidR="00F505DB">
        <w:rPr>
          <w:rFonts w:ascii="Times New Roman" w:hAnsi="Times New Roman" w:cs="Times New Roman"/>
          <w:sz w:val="28"/>
          <w:szCs w:val="28"/>
          <w:shd w:val="clear" w:color="auto" w:fill="FFFFFF"/>
        </w:rPr>
        <w:t>),  задействовано 3</w:t>
      </w:r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автобуса (ПАЗ, </w:t>
      </w:r>
      <w:r w:rsidRPr="00494885">
        <w:rPr>
          <w:rFonts w:ascii="Times New Roman" w:hAnsi="Times New Roman" w:cs="Times New Roman"/>
          <w:sz w:val="28"/>
          <w:szCs w:val="28"/>
        </w:rPr>
        <w:t>микроавтобус  «Форд-транзит»).</w:t>
      </w:r>
    </w:p>
    <w:p w:rsidR="009B2F4C" w:rsidRPr="00494885" w:rsidRDefault="009B2F4C" w:rsidP="00494885">
      <w:pPr>
        <w:pStyle w:val="Default0"/>
        <w:spacing w:line="360" w:lineRule="auto"/>
        <w:ind w:firstLine="708"/>
        <w:jc w:val="both"/>
        <w:rPr>
          <w:sz w:val="28"/>
          <w:szCs w:val="28"/>
        </w:rPr>
      </w:pPr>
      <w:r w:rsidRPr="00494885">
        <w:rPr>
          <w:sz w:val="28"/>
          <w:szCs w:val="28"/>
        </w:rPr>
        <w:lastRenderedPageBreak/>
        <w:t>Воспитательное пространство р</w:t>
      </w:r>
      <w:r w:rsidR="00F505DB">
        <w:rPr>
          <w:sz w:val="28"/>
          <w:szCs w:val="28"/>
        </w:rPr>
        <w:t>айона  объединяет 3</w:t>
      </w:r>
      <w:r w:rsidRPr="00494885">
        <w:rPr>
          <w:sz w:val="28"/>
          <w:szCs w:val="28"/>
        </w:rPr>
        <w:t xml:space="preserve">  учреждения</w:t>
      </w:r>
      <w:r w:rsidR="00F505DB">
        <w:rPr>
          <w:sz w:val="28"/>
          <w:szCs w:val="28"/>
        </w:rPr>
        <w:t xml:space="preserve"> дополнительного образования (МАО</w:t>
      </w:r>
      <w:r w:rsidR="00E643E2">
        <w:rPr>
          <w:sz w:val="28"/>
          <w:szCs w:val="28"/>
        </w:rPr>
        <w:t xml:space="preserve"> </w:t>
      </w:r>
      <w:r w:rsidR="00F505DB">
        <w:rPr>
          <w:sz w:val="28"/>
          <w:szCs w:val="28"/>
        </w:rPr>
        <w:t xml:space="preserve">УДО ДЮСШ </w:t>
      </w:r>
      <w:proofErr w:type="spellStart"/>
      <w:r w:rsidR="00F505DB">
        <w:rPr>
          <w:sz w:val="28"/>
          <w:szCs w:val="28"/>
        </w:rPr>
        <w:t>Дигорского</w:t>
      </w:r>
      <w:proofErr w:type="spellEnd"/>
      <w:r w:rsidR="00F505DB">
        <w:rPr>
          <w:sz w:val="28"/>
          <w:szCs w:val="28"/>
        </w:rPr>
        <w:t xml:space="preserve"> района </w:t>
      </w:r>
      <w:proofErr w:type="spellStart"/>
      <w:r w:rsidR="00F505DB">
        <w:rPr>
          <w:sz w:val="28"/>
          <w:szCs w:val="28"/>
        </w:rPr>
        <w:t>им.С.А.Фадзаева</w:t>
      </w:r>
      <w:proofErr w:type="spellEnd"/>
      <w:r w:rsidR="00E643E2">
        <w:rPr>
          <w:sz w:val="28"/>
          <w:szCs w:val="28"/>
        </w:rPr>
        <w:t>, МК</w:t>
      </w:r>
      <w:r w:rsidR="00F505DB">
        <w:rPr>
          <w:sz w:val="28"/>
          <w:szCs w:val="28"/>
        </w:rPr>
        <w:t xml:space="preserve">У </w:t>
      </w:r>
      <w:proofErr w:type="gramStart"/>
      <w:r w:rsidR="00F505DB">
        <w:rPr>
          <w:sz w:val="28"/>
          <w:szCs w:val="28"/>
        </w:rPr>
        <w:t>ДО</w:t>
      </w:r>
      <w:proofErr w:type="gramEnd"/>
      <w:r w:rsidRPr="00494885">
        <w:rPr>
          <w:sz w:val="28"/>
          <w:szCs w:val="28"/>
        </w:rPr>
        <w:t xml:space="preserve"> </w:t>
      </w:r>
      <w:proofErr w:type="gramStart"/>
      <w:r w:rsidRPr="00494885">
        <w:rPr>
          <w:sz w:val="28"/>
          <w:szCs w:val="28"/>
        </w:rPr>
        <w:t>Дом</w:t>
      </w:r>
      <w:proofErr w:type="gramEnd"/>
      <w:r w:rsidRPr="00494885">
        <w:rPr>
          <w:sz w:val="28"/>
          <w:szCs w:val="28"/>
        </w:rPr>
        <w:t xml:space="preserve"> детского творчества</w:t>
      </w:r>
      <w:r w:rsidR="00F505DB">
        <w:rPr>
          <w:sz w:val="28"/>
          <w:szCs w:val="28"/>
        </w:rPr>
        <w:t>, МКУ ДО Станция юных натуралистов</w:t>
      </w:r>
      <w:r w:rsidRPr="00494885">
        <w:rPr>
          <w:sz w:val="28"/>
          <w:szCs w:val="28"/>
        </w:rPr>
        <w:t xml:space="preserve">). </w:t>
      </w:r>
    </w:p>
    <w:p w:rsidR="00846018" w:rsidRPr="00496DA8" w:rsidRDefault="009B2F4C" w:rsidP="00496DA8">
      <w:pPr>
        <w:pStyle w:val="Default0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96DA8">
        <w:rPr>
          <w:color w:val="auto"/>
          <w:sz w:val="28"/>
          <w:szCs w:val="28"/>
        </w:rPr>
        <w:t xml:space="preserve">Учреждения дополнительного образования района  предоставляют услуги </w:t>
      </w:r>
      <w:r w:rsidR="00D60B7B" w:rsidRPr="00496DA8">
        <w:rPr>
          <w:color w:val="auto"/>
          <w:sz w:val="28"/>
          <w:szCs w:val="28"/>
        </w:rPr>
        <w:t>1 800 д</w:t>
      </w:r>
      <w:r w:rsidRPr="00496DA8">
        <w:rPr>
          <w:color w:val="auto"/>
          <w:sz w:val="28"/>
          <w:szCs w:val="28"/>
        </w:rPr>
        <w:t>етям. Их приоритетными направлениями  являются:  художественно-эстетическое, гражданско-патриотическое, правовое воспитание, эколого-биологическое, спортивно-оздоровительное.  Данные направления реализуются через различные формы и методы работы с детьми.</w:t>
      </w:r>
    </w:p>
    <w:p w:rsidR="009B2F4C" w:rsidRPr="00496DA8" w:rsidRDefault="009B2F4C" w:rsidP="00494885">
      <w:pPr>
        <w:pStyle w:val="Default0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96DA8">
        <w:rPr>
          <w:color w:val="auto"/>
          <w:sz w:val="28"/>
          <w:szCs w:val="28"/>
        </w:rPr>
        <w:t>Система дополнительного образования детей является важнейшей составляющей современного образовательного пространства района. В образовательных организациях дополнительного образования детей в 201</w:t>
      </w:r>
      <w:r w:rsidR="00846018" w:rsidRPr="00496DA8">
        <w:rPr>
          <w:color w:val="auto"/>
          <w:sz w:val="28"/>
          <w:szCs w:val="28"/>
        </w:rPr>
        <w:t>9</w:t>
      </w:r>
      <w:r w:rsidRPr="00496DA8">
        <w:rPr>
          <w:color w:val="auto"/>
          <w:sz w:val="28"/>
          <w:szCs w:val="28"/>
        </w:rPr>
        <w:t xml:space="preserve"> году бесплатно получали дополнительное </w:t>
      </w:r>
      <w:r w:rsidR="00D60B7B" w:rsidRPr="00496DA8">
        <w:rPr>
          <w:color w:val="auto"/>
          <w:sz w:val="28"/>
          <w:szCs w:val="28"/>
        </w:rPr>
        <w:t>образование 180</w:t>
      </w:r>
      <w:r w:rsidRPr="00496DA8">
        <w:rPr>
          <w:color w:val="auto"/>
          <w:sz w:val="28"/>
          <w:szCs w:val="28"/>
        </w:rPr>
        <w:t xml:space="preserve">0 воспитанников, что составляет </w:t>
      </w:r>
      <w:r w:rsidR="00D60B7B" w:rsidRPr="00496DA8">
        <w:rPr>
          <w:color w:val="auto"/>
          <w:sz w:val="28"/>
          <w:szCs w:val="28"/>
        </w:rPr>
        <w:t>63</w:t>
      </w:r>
      <w:r w:rsidRPr="00496DA8">
        <w:rPr>
          <w:color w:val="auto"/>
          <w:sz w:val="28"/>
          <w:szCs w:val="28"/>
        </w:rPr>
        <w:t xml:space="preserve">% от общего количества детей в возрасте 5 – 18 лет. В организациях дополнительного образования  работают  </w:t>
      </w:r>
      <w:r w:rsidR="008303FA">
        <w:rPr>
          <w:color w:val="auto"/>
          <w:sz w:val="28"/>
          <w:szCs w:val="28"/>
        </w:rPr>
        <w:t>63</w:t>
      </w:r>
      <w:r w:rsidR="00D60B7B" w:rsidRPr="00496DA8">
        <w:rPr>
          <w:color w:val="auto"/>
          <w:sz w:val="28"/>
          <w:szCs w:val="28"/>
        </w:rPr>
        <w:t xml:space="preserve"> педагогов</w:t>
      </w:r>
      <w:r w:rsidRPr="00496DA8">
        <w:rPr>
          <w:color w:val="auto"/>
          <w:sz w:val="28"/>
          <w:szCs w:val="28"/>
        </w:rPr>
        <w:t>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7B">
        <w:rPr>
          <w:rFonts w:ascii="Times New Roman" w:hAnsi="Times New Roman" w:cs="Times New Roman"/>
          <w:sz w:val="28"/>
          <w:szCs w:val="28"/>
        </w:rPr>
        <w:t xml:space="preserve"> Образовательная политика организаций  дополнительного образ</w:t>
      </w:r>
      <w:r w:rsidRPr="00494885">
        <w:rPr>
          <w:rFonts w:ascii="Times New Roman" w:hAnsi="Times New Roman" w:cs="Times New Roman"/>
          <w:sz w:val="28"/>
          <w:szCs w:val="28"/>
        </w:rPr>
        <w:t xml:space="preserve">ования направлена на удовлетворение потребностей обучающихся, их родителей (законных представителей), образовательных организаций  и качественное оказание дополнительных образовательных услуг. 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Услуги организациями дополнительного образования  предоставляются</w:t>
      </w:r>
      <w:r w:rsidR="00846018">
        <w:rPr>
          <w:rFonts w:ascii="Times New Roman" w:hAnsi="Times New Roman" w:cs="Times New Roman"/>
          <w:sz w:val="28"/>
          <w:szCs w:val="28"/>
        </w:rPr>
        <w:t xml:space="preserve"> также и</w:t>
      </w:r>
      <w:r w:rsidRPr="00494885">
        <w:rPr>
          <w:rFonts w:ascii="Times New Roman" w:hAnsi="Times New Roman" w:cs="Times New Roman"/>
          <w:sz w:val="28"/>
          <w:szCs w:val="28"/>
        </w:rPr>
        <w:t xml:space="preserve"> на базе школ. Самыми востребованными являются программы художественно-эстетической направленности,  физкультурно-спортивной направленности. 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Самым популярным  видом спорта остаются футбол, вольная борьба</w:t>
      </w:r>
      <w:r w:rsidR="00846018">
        <w:rPr>
          <w:rFonts w:ascii="Times New Roman" w:hAnsi="Times New Roman" w:cs="Times New Roman"/>
          <w:sz w:val="28"/>
          <w:szCs w:val="28"/>
        </w:rPr>
        <w:t>, спортивная гимнастика</w:t>
      </w:r>
      <w:r w:rsidRPr="00494885">
        <w:rPr>
          <w:rFonts w:ascii="Times New Roman" w:hAnsi="Times New Roman" w:cs="Times New Roman"/>
          <w:sz w:val="28"/>
          <w:szCs w:val="28"/>
        </w:rPr>
        <w:t>.   В результате занятий в организациях дополнительного образования дети  приобретают актуальные знания и умения, развивается талант и способности по определенным направлениям, у  детей улучшаются знания в рамках школьной программы.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детей  оснащены водопроводом, имеют центральное отопление и канализацию. 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lastRenderedPageBreak/>
        <w:t>Воспитанники учреждений дополнительного образования добиваются  определенных  результатов  в спортивных мероприятиях, становятся победителями и лауреатами различных районных, республиканских и Всероссийских конкурсов.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Для обеспечения условий по повышению доступности и качества услуг дополнительного образования требуется изменение инфраструктуры организаций дополнительного образования, их интеграция  с общеобразовательными организациями в условиях перехода на ФГОС. </w:t>
      </w:r>
    </w:p>
    <w:p w:rsidR="009B2F4C" w:rsidRPr="00494885" w:rsidRDefault="009B2F4C" w:rsidP="00494885">
      <w:pPr>
        <w:pStyle w:val="a6"/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F4C" w:rsidRPr="00494885" w:rsidRDefault="009B2F4C" w:rsidP="0049488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>Выводы и заключения</w:t>
      </w:r>
    </w:p>
    <w:p w:rsidR="009B2F4C" w:rsidRPr="00494885" w:rsidRDefault="009B2F4C" w:rsidP="0049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Таким образом, достигнутые результаты деятельности  системы общего образования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района  в 201</w:t>
      </w:r>
      <w:r w:rsidR="00846018">
        <w:rPr>
          <w:rFonts w:ascii="Times New Roman" w:hAnsi="Times New Roman" w:cs="Times New Roman"/>
          <w:sz w:val="28"/>
          <w:szCs w:val="28"/>
        </w:rPr>
        <w:t>9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году, в целом, соответствуют поставленной основной цели: создание условий для предоставления доступного и качественного образования, соответствующего потребностям общества и каждого гражданина.</w:t>
      </w:r>
    </w:p>
    <w:p w:rsidR="009B2F4C" w:rsidRPr="00494885" w:rsidRDefault="009B2F4C" w:rsidP="0049488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дошкольного образования необходимо продолжить работу, направленную на реализацию федерального образовательного стандарта дошкольного образования.</w:t>
      </w: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 сфере  общего образования продолжится работа, направленная  </w:t>
      </w:r>
      <w:proofErr w:type="gramStart"/>
      <w:r w:rsidRPr="004948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4885">
        <w:rPr>
          <w:rFonts w:ascii="Times New Roman" w:hAnsi="Times New Roman" w:cs="Times New Roman"/>
          <w:sz w:val="28"/>
          <w:szCs w:val="28"/>
        </w:rPr>
        <w:t>: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- реализацию  и внедрение стандартов основного общего образования;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- организацию работы по педагогической поддержке одаренных детей в образовательных организациях района;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- реализацию внедрения автоматизированных электронных систем. </w:t>
      </w:r>
    </w:p>
    <w:p w:rsidR="009B2F4C" w:rsidRPr="00494885" w:rsidRDefault="009B2F4C" w:rsidP="00494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По итогам анализа состояния системы образования определены приор</w:t>
      </w:r>
      <w:r w:rsidR="00846018">
        <w:rPr>
          <w:rFonts w:ascii="Times New Roman" w:hAnsi="Times New Roman" w:cs="Times New Roman"/>
          <w:sz w:val="28"/>
          <w:szCs w:val="28"/>
        </w:rPr>
        <w:t>итетные задачи на 2020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1. Повышение уровня доступности дошкольного, начального общего, основного общего и среднего общего образования.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2. Повышение  качества предметной подготовки выпускников  9-х, 11-х классов на государственной итоговой аттестации.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3 Улучшение материально-технического и информационного обеспечения дошкольных образовательных организаций, общеобразовательных организаций, организаций дополнительного образования детей.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lastRenderedPageBreak/>
        <w:t>4. Создание безопасных условий при организации образовательного процесса в дошкольных образовательных организаций, общеобразовательных организациях, организациях дополнительного образования.</w:t>
      </w:r>
    </w:p>
    <w:p w:rsidR="009B2F4C" w:rsidRDefault="009B2F4C" w:rsidP="000511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5.</w:t>
      </w:r>
      <w:r w:rsidRPr="00494885">
        <w:rPr>
          <w:rFonts w:ascii="Times New Roman" w:hAnsi="Times New Roman" w:cs="Times New Roman"/>
          <w:noProof/>
          <w:sz w:val="28"/>
          <w:szCs w:val="28"/>
        </w:rPr>
        <w:t>Внедрение в систему образования  муниципальной системы оценки качества образования.</w:t>
      </w:r>
    </w:p>
    <w:p w:rsidR="00846018" w:rsidRPr="00F333A1" w:rsidRDefault="00846018" w:rsidP="000511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3A1">
        <w:rPr>
          <w:rFonts w:ascii="Times New Roman" w:hAnsi="Times New Roman" w:cs="Times New Roman"/>
          <w:noProof/>
          <w:sz w:val="28"/>
          <w:szCs w:val="28"/>
        </w:rPr>
        <w:t>6. Внедрение целевой модели дополнительного образования.</w:t>
      </w:r>
    </w:p>
    <w:p w:rsidR="009B2F4C" w:rsidRPr="00846018" w:rsidRDefault="009B2F4C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9B2F4C" w:rsidRPr="00494885" w:rsidRDefault="009B2F4C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B2F4C" w:rsidRDefault="009B2F4C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6018" w:rsidRDefault="00846018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6018" w:rsidRDefault="00846018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6018" w:rsidRDefault="00846018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6018" w:rsidRPr="00494885" w:rsidRDefault="00846018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B2F4C" w:rsidRDefault="009B2F4C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00A6" w:rsidRDefault="001E00A6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00A6" w:rsidRDefault="001E00A6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00A6" w:rsidRDefault="001E00A6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00A6" w:rsidRDefault="001E00A6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00A6" w:rsidRDefault="001E00A6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00A6" w:rsidRDefault="001E00A6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00A6" w:rsidRDefault="001E00A6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00A6" w:rsidRDefault="001E00A6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00A6" w:rsidRDefault="001E00A6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00A6" w:rsidRDefault="001E00A6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6DA8" w:rsidRDefault="00496DA8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6DA8" w:rsidRDefault="00496DA8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6DA8" w:rsidRPr="00494885" w:rsidRDefault="00496DA8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A3B1F" w:rsidRDefault="00AA3B1F" w:rsidP="0049488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B1F" w:rsidRDefault="00AA3B1F" w:rsidP="0049488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B1F" w:rsidRDefault="00AA3B1F" w:rsidP="0049488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F4C" w:rsidRPr="00494885" w:rsidRDefault="009B2F4C" w:rsidP="0049488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8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МОНИТОРИНГА СИСТЕМЫ ОБРАЗОВАНИЯ АДМИНИСТРАЦИИ МЕСТНОГО САМОУПРАВЛЕНИЯ МУНИЦИПАЛЬНОГО ОБРАЗОВАНИЯ ДИГОРСКИЙ РАЙОН</w:t>
      </w:r>
    </w:p>
    <w:p w:rsidR="009B2F4C" w:rsidRPr="00494885" w:rsidRDefault="009B2F4C" w:rsidP="004948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89"/>
        <w:gridCol w:w="1559"/>
      </w:tblGrid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2"/>
            <w:bookmarkEnd w:id="0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4"/>
            <w:bookmarkEnd w:id="1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CC4019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</w:tr>
      <w:tr w:rsidR="009B2F4C" w:rsidRPr="004F1717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F1717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F1717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49,56%</w:t>
            </w:r>
          </w:p>
          <w:p w:rsidR="004F1717" w:rsidRPr="004F1717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1050восп.</w:t>
            </w:r>
          </w:p>
        </w:tc>
      </w:tr>
      <w:tr w:rsidR="009B2F4C" w:rsidRPr="004F1717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F1717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F1717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:rsidR="004F1717" w:rsidRPr="004F1717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200 детей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662A0A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2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1.3.2. Отношение среднемесячной заработной платы педагогических </w:t>
            </w:r>
            <w:r w:rsidRPr="00662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662A0A" w:rsidRDefault="00EA3D1E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0C5915"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водоснабжение;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0C5915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2F4C"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0C5915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725E6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  <w:p w:rsidR="00C725E6" w:rsidRPr="00494885" w:rsidRDefault="00C725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5детей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725E6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  <w:p w:rsidR="00C725E6" w:rsidRPr="00494885" w:rsidRDefault="00C725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C5915" w:rsidRPr="00494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1.7. Изменение сети дошкольных образовательных организаций (в том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1.7.1. Темп роста числа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68519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685195" w:rsidRDefault="00A11086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76,9</w:t>
            </w:r>
            <w:r w:rsidR="00C10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</w:t>
            </w:r>
            <w:r w:rsidR="00133E7F" w:rsidRPr="00685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в год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C725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F4C"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724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12724F" w:rsidRPr="00494885" w:rsidRDefault="00C725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24F">
              <w:rPr>
                <w:rFonts w:ascii="Times New Roman" w:hAnsi="Times New Roman" w:cs="Times New Roman"/>
                <w:sz w:val="28"/>
                <w:szCs w:val="28"/>
              </w:rPr>
              <w:t xml:space="preserve"> учр</w:t>
            </w:r>
            <w:r w:rsidR="001D5343">
              <w:rPr>
                <w:rFonts w:ascii="Times New Roman" w:hAnsi="Times New Roman" w:cs="Times New Roman"/>
                <w:sz w:val="28"/>
                <w:szCs w:val="28"/>
              </w:rPr>
              <w:t>ежден</w:t>
            </w:r>
            <w:r w:rsidR="00127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8"/>
            <w:bookmarkEnd w:id="2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25E6" w:rsidRPr="00494885" w:rsidRDefault="00A1108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выбора, в общей численности родителей учащихся общеобразовательных организаций). </w:t>
            </w:r>
            <w:hyperlink r:id="rId13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  <w:p w:rsidR="004F1717" w:rsidRPr="00494885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0C5915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35638B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17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80086" w:rsidRPr="00494885" w:rsidRDefault="0078008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C1020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C61C01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1020B"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педагогических работников -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8B6ACF" w:rsidRDefault="00C1020B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B6AC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B2F4C" w:rsidRPr="00494885" w:rsidTr="00C1020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C61C01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1020B">
              <w:rPr>
                <w:rFonts w:ascii="Times New Roman" w:hAnsi="Times New Roman" w:cs="Times New Roman"/>
                <w:sz w:val="28"/>
                <w:szCs w:val="28"/>
              </w:rPr>
              <w:t xml:space="preserve">    из них учителей.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C61C01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1020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35638B" w:rsidRPr="0049488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35638B" w:rsidRPr="004948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водопровод;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A1108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A1108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и выше,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780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80086" w:rsidRPr="00494885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80086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82A" w:rsidRDefault="00C7782A" w:rsidP="00C778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  <w:p w:rsidR="00780086" w:rsidRPr="00494885" w:rsidRDefault="00C7782A" w:rsidP="00C778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040125" w:rsidRDefault="00EA3D1E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2A0A" w:rsidRPr="0004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662A0A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343" w:rsidRPr="0092044F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52,5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343" w:rsidRPr="0092044F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2.6.3. Среднее значение количества баллов по государственной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BB5414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BB5414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782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EA3D1E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8,1</w:t>
            </w:r>
            <w:r w:rsidR="00EA3D1E" w:rsidRPr="00EA3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EA3D1E" w:rsidRPr="00EA3D1E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A3D1E" w:rsidRPr="00EA3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EA3D1E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A3D1E" w:rsidRPr="00EA3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,5%</w:t>
            </w:r>
          </w:p>
          <w:p w:rsidR="00EA3D1E" w:rsidRPr="00EA3D1E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="00EA3D1E" w:rsidRPr="00EA3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F325ED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F4C"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662A0A" w:rsidRPr="007003C7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2A0A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82A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:rsidR="00662A0A" w:rsidRPr="007003C7" w:rsidRDefault="00C7782A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62A0A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638B" w:rsidRPr="00494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2.7.4. Удельный вес числа организаций, имеющих плавательные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2.8.1. Темп роста числа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A1108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  <w:r w:rsidR="00133E7F"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т.р. в год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2.10.2. Удельный вес числа организаций, имеющих дымовые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35638B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A1108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16"/>
            <w:bookmarkEnd w:id="3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II.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18"/>
            <w:bookmarkEnd w:id="4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на базе основного общего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на базе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на базе основного общего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на базе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очная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заочная форма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преподаватели.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3.3.2. Удельный вес численности лиц, имеющих высшее образование, в общей численности педагогических работников (без внешних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преподаватели.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высшую квалификационную категорию;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первую квалификационную категорию.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высшую квалификационную категорию;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первую квалификационную категорию.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3.3.7. Удельный вес штатных преподавателей профессиональных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реализующие   исключительно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  реализующие  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специалистов среднего звена. </w:t>
            </w:r>
            <w:hyperlink r:id="rId14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реализующие   исключительно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 </w:t>
            </w:r>
            <w:hyperlink r:id="rId15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  реализующие  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специалистов среднего звена. </w:t>
            </w:r>
            <w:hyperlink r:id="rId16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3.4.3. Число персональных компьютеров, используемых в учебных целях, в расчете на 100 студентов профессиональных образовательных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3.4.5. Удельный вес числа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  реализующие  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 профессионального  образования -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исключительно     программы     подготовки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квалифицированных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  реализующие  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 профессионального  образования -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звена. </w:t>
            </w:r>
            <w:hyperlink r:id="rId17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3.6. Учебные и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3.6.2. Уровень безработицы выпускников, завершивших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 </w:t>
            </w:r>
            <w:hyperlink r:id="rId18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звена. </w:t>
            </w:r>
            <w:hyperlink r:id="rId19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3.7.1. Темп роста числа образовательных организаций, реализующих: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профессиональные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организации; </w:t>
            </w:r>
            <w:hyperlink r:id="rId20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организации высшего образования, имеющие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в своем        составе   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структурные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подразделения,   реализующие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подготовки   квалифицированных  рабочих,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служащих. </w:t>
            </w:r>
            <w:hyperlink r:id="rId21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профессиональные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организации; </w:t>
            </w:r>
            <w:hyperlink r:id="rId22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организации высшего образования, имеющие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в своем        составе   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структурные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подразделения,   реализующие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подготовки  специалистов среднего звена.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hyperlink r:id="rId23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организации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реализующие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 среднего    профессионального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 -  исключительно 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  квалифицированных    рабочих,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реализующие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 среднего    профессионального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   -   программы    подготовки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учебно-лабораторные здания;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3.10.2. Удельный вес числа организаций, здания которых требуют капитального ремонта, в общем числе профессиональных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461"/>
            <w:bookmarkEnd w:id="5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 Сведения о развитии высшего образования </w:t>
            </w:r>
            <w:hyperlink r:id="rId24" w:anchor="Par914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магистратуры, к численности населения в возрасте 17 - 25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4.1.2. Удельный вес численности студентов, обучающихся в ведущих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очная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заочная форма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4.3.1. Удельный вес численности лиц, имеющих ученую степень, в общей численности профессорско-преподавательского состава (без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доктора наук;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кандидата наук.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r:id="rId25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r:id="rId26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образовательных программ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4.4.4. Удельный вес числа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4.6. Учебные и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4.6.2. Уровень безработицы выпускников, завершивших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магистратуры в течение трех лет, предшествовавших отчетному периоду. </w:t>
            </w:r>
            <w:hyperlink r:id="rId27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программы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r:id="rId28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4.9.4.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на 4 курсе и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на 4 курсе и старше, по программам магистратуры). </w:t>
            </w:r>
            <w:hyperlink r:id="rId29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учебно-лабораторные здания;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учебно-лабораторные здания;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учебно-лабораторные здания;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577"/>
            <w:bookmarkEnd w:id="6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79"/>
            <w:bookmarkEnd w:id="7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133E7F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395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133E7F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3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423395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AE76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775D9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D95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  <w:r w:rsidR="0077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3E7F"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водопровод: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423395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423395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AE76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  <w:r w:rsidR="00133E7F"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т.р. в год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5.8.2. Удельный вес числа организаций, имеющих дымовые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5.9. Учебные и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приобретение  актуальных  знаний,  умений,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практических навыков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0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3E7F"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выявление    и    развитие    таланта    и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способностей обучающихся; </w:t>
            </w:r>
            <w:hyperlink r:id="rId31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423395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профессиональная    ориентация,   освоение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значимых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профессиональной деятельности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навыков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2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133E7F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улучшение   знаний   в    рамках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33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3E7F"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652"/>
            <w:bookmarkEnd w:id="8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r:id="rId34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6.1.2.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r:id="rId35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6.3.1. Удельный вес численности лиц, имеющих ученую степень, в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доктора наук; </w:t>
            </w:r>
            <w:hyperlink r:id="rId36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кандидата наук. </w:t>
            </w:r>
            <w:hyperlink r:id="rId37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r:id="rId38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 </w:t>
            </w:r>
            <w:hyperlink r:id="rId39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 </w:t>
            </w:r>
            <w:hyperlink r:id="rId40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профессионального образования; </w:t>
            </w:r>
            <w:hyperlink r:id="rId41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организации; </w:t>
            </w:r>
            <w:hyperlink r:id="rId42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программам. </w:t>
            </w:r>
            <w:hyperlink r:id="rId43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r:id="rId44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учебно-лабораторные здания; </w:t>
            </w:r>
            <w:hyperlink r:id="rId45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общежития. </w:t>
            </w:r>
            <w:hyperlink r:id="rId46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7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8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(&lt;****&gt;)</w:t>
              </w:r>
            </w:hyperlink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716"/>
            <w:bookmarkEnd w:id="9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IV. Профессиональное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718"/>
            <w:bookmarkEnd w:id="10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 Сведения о развитии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7.1.1. Численность лиц, прошедших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профессиональная подготовка по профессиям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должностям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переподготовка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повышение квалификации рабочих,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7.2.1. Удельный вес численности лиц, прошедших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r:id="rId49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r:id="rId50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прошедших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7.6.1. Удельный вес лиц, трудоустроившихся в течение 1 года после окончания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r:id="rId51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общеобразовательные организации; </w:t>
            </w:r>
            <w:hyperlink r:id="rId52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организации; </w:t>
            </w:r>
            <w:hyperlink r:id="rId53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организации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образования; </w:t>
            </w:r>
            <w:hyperlink r:id="rId54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 дополнительного образования;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55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профессионального образования; </w:t>
            </w:r>
            <w:hyperlink r:id="rId56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учебные центры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квалификации. </w:t>
            </w:r>
            <w:hyperlink r:id="rId57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бюджетные ассигнования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; &lt;*&gt; (&lt;****&gt;)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финансовые средства от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доход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деятельности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8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9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(&lt;****&gt;)</w:t>
              </w:r>
            </w:hyperlink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0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1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(&lt;****&gt;)</w:t>
              </w:r>
            </w:hyperlink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791"/>
            <w:bookmarkEnd w:id="11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V. Дополнительная информация о системе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793"/>
            <w:bookmarkEnd w:id="12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8.1. Интеграция образования и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исключительно профессиональной  подготовки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квалифицированных рабочих, служащих; </w:t>
            </w:r>
            <w:hyperlink r:id="rId62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профессиональной  подготовки  специалистов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звена; </w:t>
            </w:r>
            <w:hyperlink r:id="rId63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  подготовки   специалистов,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магистратуры. </w:t>
            </w:r>
            <w:hyperlink r:id="rId64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812"/>
            <w:bookmarkEnd w:id="13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граждане СНГ.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граждане СНГ.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826"/>
            <w:bookmarkEnd w:id="14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10.1. Оценка деятельности системы образования гражданами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r:id="rId65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r:id="rId66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международное исследование PIRLS. </w:t>
            </w:r>
            <w:hyperlink r:id="rId67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международное исследование TIMSS: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математика (4 класс); </w:t>
            </w:r>
            <w:hyperlink r:id="rId68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математика (8 класс); </w:t>
            </w:r>
            <w:hyperlink r:id="rId69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естествознание (4 класс); </w:t>
            </w:r>
            <w:hyperlink r:id="rId70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естествознание (8 класс). </w:t>
            </w:r>
            <w:hyperlink r:id="rId71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международное исследование PISA: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читательская грамотность; </w:t>
            </w:r>
            <w:hyperlink r:id="rId72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математическая грамотность; </w:t>
            </w:r>
            <w:hyperlink r:id="rId73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естественнонаучная грамотность. </w:t>
            </w:r>
            <w:hyperlink r:id="rId74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платной основе. </w:t>
            </w:r>
            <w:hyperlink r:id="rId75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10.4. Развитие региональных систем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r:id="rId76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868"/>
            <w:bookmarkEnd w:id="15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    программы    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профессионального  образования -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квалифицированных      рабочих,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    программы    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профессионального  образования -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специалистов среднего звена;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     программы 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- программы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программы  высшего образования -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     программы 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- программы магистратуры;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     программы 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- программы  подготовки кадров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высшей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9B2F4C" w:rsidRPr="00494885" w:rsidRDefault="00DF4B59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90005" cy="8786257"/>
            <wp:effectExtent l="19050" t="0" r="0" b="0"/>
            <wp:docPr id="2" name="Рисунок 2" descr="C:\Documents and Settings\Бэла\Рабочий стол\Рисунок (3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эла\Рабочий стол\Рисунок (334)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DD" w:rsidRPr="00494885" w:rsidRDefault="00C378DD" w:rsidP="00494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78DD" w:rsidRPr="00494885" w:rsidSect="00D84131">
      <w:footerReference w:type="default" r:id="rId7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CD" w:rsidRDefault="00A347CD" w:rsidP="001F0990">
      <w:pPr>
        <w:spacing w:after="0" w:line="240" w:lineRule="auto"/>
      </w:pPr>
      <w:r>
        <w:separator/>
      </w:r>
    </w:p>
  </w:endnote>
  <w:endnote w:type="continuationSeparator" w:id="0">
    <w:p w:rsidR="00A347CD" w:rsidRDefault="00A347CD" w:rsidP="001F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485"/>
      <w:docPartObj>
        <w:docPartGallery w:val="Page Numbers (Bottom of Page)"/>
        <w:docPartUnique/>
      </w:docPartObj>
    </w:sdtPr>
    <w:sdtContent>
      <w:p w:rsidR="001C0C22" w:rsidRDefault="001C0C22">
        <w:pPr>
          <w:pStyle w:val="ad"/>
          <w:jc w:val="center"/>
        </w:pPr>
        <w:fldSimple w:instr=" PAGE   \* MERGEFORMAT ">
          <w:r w:rsidR="00AA3B1F">
            <w:rPr>
              <w:noProof/>
            </w:rPr>
            <w:t>44</w:t>
          </w:r>
        </w:fldSimple>
      </w:p>
    </w:sdtContent>
  </w:sdt>
  <w:p w:rsidR="001C0C22" w:rsidRDefault="001C0C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CD" w:rsidRDefault="00A347CD" w:rsidP="001F0990">
      <w:pPr>
        <w:spacing w:after="0" w:line="240" w:lineRule="auto"/>
      </w:pPr>
      <w:r>
        <w:separator/>
      </w:r>
    </w:p>
  </w:footnote>
  <w:footnote w:type="continuationSeparator" w:id="0">
    <w:p w:rsidR="00A347CD" w:rsidRDefault="00A347CD" w:rsidP="001F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EC2"/>
    <w:multiLevelType w:val="hybridMultilevel"/>
    <w:tmpl w:val="7BC6CB2A"/>
    <w:lvl w:ilvl="0" w:tplc="6F5ED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1E30"/>
    <w:multiLevelType w:val="hybridMultilevel"/>
    <w:tmpl w:val="6E00530E"/>
    <w:lvl w:ilvl="0" w:tplc="E4367C6A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  <w:rPr>
        <w:rFonts w:cs="Times New Roman"/>
      </w:rPr>
    </w:lvl>
  </w:abstractNum>
  <w:abstractNum w:abstractNumId="2">
    <w:nsid w:val="31EB3F63"/>
    <w:multiLevelType w:val="hybridMultilevel"/>
    <w:tmpl w:val="ECC870BE"/>
    <w:lvl w:ilvl="0" w:tplc="A42476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647BF"/>
    <w:multiLevelType w:val="multilevel"/>
    <w:tmpl w:val="505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AD0F33"/>
    <w:multiLevelType w:val="multilevel"/>
    <w:tmpl w:val="778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9F11AA"/>
    <w:multiLevelType w:val="hybridMultilevel"/>
    <w:tmpl w:val="2B98D2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8573EF5"/>
    <w:multiLevelType w:val="multilevel"/>
    <w:tmpl w:val="EFD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4E31A8"/>
    <w:multiLevelType w:val="multilevel"/>
    <w:tmpl w:val="7EB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893639"/>
    <w:multiLevelType w:val="hybridMultilevel"/>
    <w:tmpl w:val="2654CE68"/>
    <w:lvl w:ilvl="0" w:tplc="56F44A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065763"/>
    <w:multiLevelType w:val="hybridMultilevel"/>
    <w:tmpl w:val="56E4E39E"/>
    <w:lvl w:ilvl="0" w:tplc="2A206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F4C"/>
    <w:rsid w:val="00040125"/>
    <w:rsid w:val="00051108"/>
    <w:rsid w:val="0005522E"/>
    <w:rsid w:val="00055965"/>
    <w:rsid w:val="000C5915"/>
    <w:rsid w:val="0012724F"/>
    <w:rsid w:val="00133E7F"/>
    <w:rsid w:val="00156E63"/>
    <w:rsid w:val="0018054D"/>
    <w:rsid w:val="001837B6"/>
    <w:rsid w:val="00191356"/>
    <w:rsid w:val="001B57B4"/>
    <w:rsid w:val="001C0C22"/>
    <w:rsid w:val="001D5343"/>
    <w:rsid w:val="001E00A6"/>
    <w:rsid w:val="001F0990"/>
    <w:rsid w:val="00241F37"/>
    <w:rsid w:val="002C3F4A"/>
    <w:rsid w:val="002C5FB8"/>
    <w:rsid w:val="0035638B"/>
    <w:rsid w:val="003B3BD3"/>
    <w:rsid w:val="003F3208"/>
    <w:rsid w:val="00423395"/>
    <w:rsid w:val="0047551C"/>
    <w:rsid w:val="00494885"/>
    <w:rsid w:val="00496DA8"/>
    <w:rsid w:val="004F1717"/>
    <w:rsid w:val="0051550C"/>
    <w:rsid w:val="00560200"/>
    <w:rsid w:val="0057366C"/>
    <w:rsid w:val="00581F94"/>
    <w:rsid w:val="00645FD9"/>
    <w:rsid w:val="006478F6"/>
    <w:rsid w:val="00662A0A"/>
    <w:rsid w:val="00685195"/>
    <w:rsid w:val="006857DC"/>
    <w:rsid w:val="006D458B"/>
    <w:rsid w:val="007003C7"/>
    <w:rsid w:val="00740751"/>
    <w:rsid w:val="00775D95"/>
    <w:rsid w:val="00780086"/>
    <w:rsid w:val="007A6063"/>
    <w:rsid w:val="007A6A48"/>
    <w:rsid w:val="007D6393"/>
    <w:rsid w:val="007E4B41"/>
    <w:rsid w:val="008303FA"/>
    <w:rsid w:val="00832CF4"/>
    <w:rsid w:val="00846018"/>
    <w:rsid w:val="00874CEB"/>
    <w:rsid w:val="008A2814"/>
    <w:rsid w:val="008A2DFC"/>
    <w:rsid w:val="008B6ACF"/>
    <w:rsid w:val="008B77CF"/>
    <w:rsid w:val="008E3833"/>
    <w:rsid w:val="008E442A"/>
    <w:rsid w:val="009111E8"/>
    <w:rsid w:val="0092044F"/>
    <w:rsid w:val="00977F4C"/>
    <w:rsid w:val="009A0671"/>
    <w:rsid w:val="009B2F4C"/>
    <w:rsid w:val="009E411C"/>
    <w:rsid w:val="00A01463"/>
    <w:rsid w:val="00A11086"/>
    <w:rsid w:val="00A347CD"/>
    <w:rsid w:val="00A62FB1"/>
    <w:rsid w:val="00AA154F"/>
    <w:rsid w:val="00AA3B1F"/>
    <w:rsid w:val="00AA3D85"/>
    <w:rsid w:val="00AE76E6"/>
    <w:rsid w:val="00B8489F"/>
    <w:rsid w:val="00BB5414"/>
    <w:rsid w:val="00C07789"/>
    <w:rsid w:val="00C1020B"/>
    <w:rsid w:val="00C378DD"/>
    <w:rsid w:val="00C555AD"/>
    <w:rsid w:val="00C61C01"/>
    <w:rsid w:val="00C725E6"/>
    <w:rsid w:val="00C7782A"/>
    <w:rsid w:val="00C93375"/>
    <w:rsid w:val="00CC4019"/>
    <w:rsid w:val="00CC720A"/>
    <w:rsid w:val="00CD3580"/>
    <w:rsid w:val="00D2270A"/>
    <w:rsid w:val="00D2629C"/>
    <w:rsid w:val="00D60B7B"/>
    <w:rsid w:val="00D61375"/>
    <w:rsid w:val="00D82127"/>
    <w:rsid w:val="00D84131"/>
    <w:rsid w:val="00D94AD7"/>
    <w:rsid w:val="00DF4B59"/>
    <w:rsid w:val="00E03AF2"/>
    <w:rsid w:val="00E35653"/>
    <w:rsid w:val="00E44F6B"/>
    <w:rsid w:val="00E643E2"/>
    <w:rsid w:val="00EA3D1E"/>
    <w:rsid w:val="00EE1BEB"/>
    <w:rsid w:val="00EE6AFC"/>
    <w:rsid w:val="00F05DDF"/>
    <w:rsid w:val="00F325ED"/>
    <w:rsid w:val="00F333A1"/>
    <w:rsid w:val="00F461BE"/>
    <w:rsid w:val="00F505DB"/>
    <w:rsid w:val="00F944CA"/>
    <w:rsid w:val="00FC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2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B2F4C"/>
    <w:pPr>
      <w:ind w:left="720"/>
      <w:contextualSpacing/>
    </w:pPr>
  </w:style>
  <w:style w:type="paragraph" w:styleId="a4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9B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F4C"/>
  </w:style>
  <w:style w:type="character" w:styleId="a5">
    <w:name w:val="Hyperlink"/>
    <w:basedOn w:val="a0"/>
    <w:uiPriority w:val="99"/>
    <w:unhideWhenUsed/>
    <w:rsid w:val="009B2F4C"/>
    <w:rPr>
      <w:color w:val="0000FF"/>
      <w:u w:val="single"/>
    </w:rPr>
  </w:style>
  <w:style w:type="character" w:customStyle="1" w:styleId="mw-headline">
    <w:name w:val="mw-headline"/>
    <w:basedOn w:val="a0"/>
    <w:rsid w:val="009B2F4C"/>
  </w:style>
  <w:style w:type="character" w:customStyle="1" w:styleId="mw-editsection">
    <w:name w:val="mw-editsection"/>
    <w:basedOn w:val="a0"/>
    <w:rsid w:val="009B2F4C"/>
  </w:style>
  <w:style w:type="character" w:customStyle="1" w:styleId="mw-editsection-bracket">
    <w:name w:val="mw-editsection-bracket"/>
    <w:basedOn w:val="a0"/>
    <w:rsid w:val="009B2F4C"/>
  </w:style>
  <w:style w:type="character" w:customStyle="1" w:styleId="mw-editsection-divider">
    <w:name w:val="mw-editsection-divider"/>
    <w:basedOn w:val="a0"/>
    <w:rsid w:val="009B2F4C"/>
  </w:style>
  <w:style w:type="paragraph" w:customStyle="1" w:styleId="WW-2">
    <w:name w:val="WW-Основной текст с отступом 2"/>
    <w:basedOn w:val="a"/>
    <w:uiPriority w:val="99"/>
    <w:rsid w:val="009B2F4C"/>
    <w:pPr>
      <w:suppressAutoHyphens/>
      <w:spacing w:after="0" w:line="360" w:lineRule="auto"/>
      <w:ind w:left="567" w:firstLine="851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6">
    <w:name w:val="No Spacing"/>
    <w:uiPriority w:val="99"/>
    <w:qFormat/>
    <w:rsid w:val="009B2F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9B2F4C"/>
    <w:rPr>
      <w:rFonts w:cs="Times New Roman"/>
    </w:rPr>
  </w:style>
  <w:style w:type="paragraph" w:customStyle="1" w:styleId="default">
    <w:name w:val="default"/>
    <w:basedOn w:val="a"/>
    <w:uiPriority w:val="99"/>
    <w:rsid w:val="009B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9B2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9B2F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9B2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B2F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B2F4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B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9B2F4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B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2F4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B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2F4C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9B2F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">
    <w:name w:val="Нормальный (таблица)"/>
    <w:basedOn w:val="a"/>
    <w:next w:val="a"/>
    <w:rsid w:val="009B2F4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0">
    <w:name w:val="Прижатый влево"/>
    <w:basedOn w:val="a"/>
    <w:next w:val="a"/>
    <w:rsid w:val="009B2F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rsid w:val="009B2F4C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2F4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rsid w:val="009B2F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2F4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13"/>
    <w:rsid w:val="009B2F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1"/>
    <w:rsid w:val="009B2F4C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1">
    <w:name w:val="Основной текст (6) + Не полужирный"/>
    <w:basedOn w:val="6"/>
    <w:rsid w:val="009B2F4C"/>
    <w:rPr>
      <w:b/>
      <w:bCs/>
    </w:rPr>
  </w:style>
  <w:style w:type="paragraph" w:customStyle="1" w:styleId="ConsPlusNormal">
    <w:name w:val="ConsPlusNormal"/>
    <w:rsid w:val="009B2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2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B2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1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11" Type="http://schemas.openxmlformats.org/officeDocument/2006/relationships/hyperlink" Target="https://ru.wikipedia.org/w/index.php?title=%D0%9D%D0%B8%D0%BA%D0%BE%D0%BB%D0%B0%D0%B5%D0%B2%D1%81%D0%BA%D0%B0%D1%8F_(%D0%A1%D0%B5%D0%B2%D0%B5%D1%80%D0%BD%D0%B0%D1%8F_%D0%9E%D1%81%D0%B5%D1%82%D0%B8%D1%8F)&amp;action=edit&amp;redlink=1" TargetMode="External"/><Relationship Id="rId2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10" Type="http://schemas.openxmlformats.org/officeDocument/2006/relationships/hyperlink" Target="https://ru.wikipedia.org/w/index.php?title=%D0%9A%D0%BE%D1%80%D0%B0_(%D0%A1%D0%B5%D0%B2%D0%B5%D1%80%D0%BD%D0%B0%D1%8F_%D0%9E%D1%81%D0%B5%D1%82%D0%B8%D1%8F)&amp;action=edit&amp;redlink=1" TargetMode="External"/><Relationship Id="rId1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4%D1%83%D1%80-%D0%94%D1%83%D1%80%D1%81%D0%BA%D0%BE%D0%B5_%D1%81%D0%B5%D0%BB%D1%8C%D1%81%D0%BA%D0%BE%D0%B5_%D0%BF%D0%BE%D1%81%D0%B5%D0%BB%D0%B5%D0%BD%D0%B8%D0%B5&amp;action=edit&amp;redlink=1" TargetMode="External"/><Relationship Id="rId1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7" Type="http://schemas.openxmlformats.org/officeDocument/2006/relationships/image" Target="media/image1.jpeg"/><Relationship Id="rId8" Type="http://schemas.openxmlformats.org/officeDocument/2006/relationships/hyperlink" Target="https://ru.wikipedia.org/wiki/%D0%94%D0%B8%D0%B3%D0%BE%D1%80%D0%B0" TargetMode="External"/><Relationship Id="rId5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diguo@mail.ru" TargetMode="External"/><Relationship Id="rId1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0156-AD20-44EB-B655-709F571D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13063</Words>
  <Characters>74462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МЛУ СОШ №2</Company>
  <LinksUpToDate>false</LinksUpToDate>
  <CharactersWithSpaces>87351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 Владимировна</dc:creator>
  <cp:lastModifiedBy>user</cp:lastModifiedBy>
  <cp:revision>11</cp:revision>
  <cp:lastPrinted>2017-09-04T09:52:00Z</cp:lastPrinted>
  <dcterms:created xsi:type="dcterms:W3CDTF">2020-10-19T08:58:00Z</dcterms:created>
  <dcterms:modified xsi:type="dcterms:W3CDTF">2020-10-19T13:14:00Z</dcterms:modified>
</cp:coreProperties>
</file>